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3502" w14:textId="77777777" w:rsidR="00B64091" w:rsidRPr="0098245F" w:rsidRDefault="00B64091" w:rsidP="00424BDA">
      <w:pPr>
        <w:jc w:val="center"/>
        <w:rPr>
          <w:b/>
          <w:color w:val="000000"/>
          <w:sz w:val="20"/>
          <w:szCs w:val="20"/>
        </w:rPr>
      </w:pPr>
    </w:p>
    <w:p w14:paraId="18584759" w14:textId="77777777" w:rsidR="00424BDA" w:rsidRPr="0098245F" w:rsidRDefault="00D374EC" w:rsidP="00424BD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ENERGY</w:t>
      </w:r>
      <w:r w:rsidR="00424BDA" w:rsidRPr="0098245F">
        <w:rPr>
          <w:b/>
          <w:color w:val="000000"/>
          <w:sz w:val="32"/>
          <w:szCs w:val="32"/>
        </w:rPr>
        <w:t xml:space="preserve"> SERVICE PROCUREMENT SUMMARY</w:t>
      </w:r>
    </w:p>
    <w:p w14:paraId="0DB5EEF6" w14:textId="77777777" w:rsidR="00B64091" w:rsidRPr="0098245F" w:rsidRDefault="00B64091" w:rsidP="00424BDA">
      <w:pPr>
        <w:jc w:val="center"/>
        <w:rPr>
          <w:b/>
          <w:color w:val="000000"/>
          <w:sz w:val="16"/>
          <w:szCs w:val="16"/>
        </w:rPr>
      </w:pPr>
    </w:p>
    <w:p w14:paraId="179D193E" w14:textId="77777777" w:rsidR="00D50D8E" w:rsidRDefault="00B64091" w:rsidP="00424BDA">
      <w:pPr>
        <w:jc w:val="center"/>
        <w:rPr>
          <w:b/>
          <w:color w:val="000000"/>
          <w:sz w:val="32"/>
          <w:szCs w:val="32"/>
        </w:rPr>
      </w:pPr>
      <w:r w:rsidRPr="0098245F">
        <w:rPr>
          <w:b/>
          <w:color w:val="000000"/>
          <w:sz w:val="32"/>
          <w:szCs w:val="32"/>
        </w:rPr>
        <w:t xml:space="preserve">FOR </w:t>
      </w:r>
    </w:p>
    <w:p w14:paraId="00DE0E65" w14:textId="77777777" w:rsidR="00D50D8E" w:rsidRPr="00D50D8E" w:rsidRDefault="00D50D8E" w:rsidP="00424BDA">
      <w:pPr>
        <w:jc w:val="center"/>
        <w:rPr>
          <w:b/>
          <w:color w:val="000000"/>
          <w:sz w:val="16"/>
          <w:szCs w:val="16"/>
        </w:rPr>
      </w:pPr>
    </w:p>
    <w:p w14:paraId="61DAF0A0" w14:textId="77777777" w:rsidR="00B64091" w:rsidRPr="0098245F" w:rsidRDefault="005820D9" w:rsidP="00424BDA">
      <w:pPr>
        <w:jc w:val="center"/>
        <w:rPr>
          <w:b/>
          <w:color w:val="000000"/>
          <w:sz w:val="32"/>
          <w:szCs w:val="32"/>
        </w:rPr>
      </w:pPr>
      <w:r w:rsidRPr="00D50D8E">
        <w:rPr>
          <w:b/>
          <w:caps/>
          <w:color w:val="000000"/>
          <w:sz w:val="32"/>
          <w:szCs w:val="32"/>
        </w:rPr>
        <w:t>Liberty</w:t>
      </w:r>
      <w:r>
        <w:rPr>
          <w:b/>
          <w:color w:val="000000"/>
          <w:sz w:val="32"/>
          <w:szCs w:val="32"/>
        </w:rPr>
        <w:t xml:space="preserve"> UTILITIES (</w:t>
      </w:r>
      <w:r w:rsidR="005F660D" w:rsidRPr="0098245F">
        <w:rPr>
          <w:b/>
          <w:color w:val="000000"/>
          <w:sz w:val="32"/>
          <w:szCs w:val="32"/>
        </w:rPr>
        <w:t>GRANITE STATE</w:t>
      </w:r>
      <w:r w:rsidR="00B64091" w:rsidRPr="0098245F">
        <w:rPr>
          <w:b/>
          <w:color w:val="000000"/>
          <w:sz w:val="32"/>
          <w:szCs w:val="32"/>
        </w:rPr>
        <w:t xml:space="preserve"> ELECTRIC</w:t>
      </w:r>
      <w:r>
        <w:rPr>
          <w:b/>
          <w:color w:val="000000"/>
          <w:sz w:val="32"/>
          <w:szCs w:val="32"/>
        </w:rPr>
        <w:t>) CORP</w:t>
      </w:r>
      <w:r w:rsidR="00A03BE7">
        <w:rPr>
          <w:b/>
          <w:color w:val="000000"/>
          <w:sz w:val="32"/>
          <w:szCs w:val="32"/>
        </w:rPr>
        <w:t>.</w:t>
      </w:r>
    </w:p>
    <w:p w14:paraId="274E079A" w14:textId="77777777" w:rsidR="00B64091" w:rsidRPr="0098245F" w:rsidRDefault="00B64091" w:rsidP="00424BDA">
      <w:pPr>
        <w:jc w:val="center"/>
        <w:rPr>
          <w:b/>
          <w:color w:val="000000"/>
          <w:sz w:val="16"/>
          <w:szCs w:val="16"/>
        </w:rPr>
      </w:pPr>
    </w:p>
    <w:p w14:paraId="778661A1" w14:textId="77777777" w:rsidR="00424BDA" w:rsidRPr="0098245F" w:rsidRDefault="00424BDA" w:rsidP="00424BDA">
      <w:pPr>
        <w:jc w:val="center"/>
        <w:rPr>
          <w:color w:val="000000"/>
        </w:rPr>
      </w:pPr>
      <w:r w:rsidRPr="0098245F">
        <w:rPr>
          <w:color w:val="000000"/>
        </w:rPr>
        <w:t>FOR THE PERIOD</w:t>
      </w:r>
    </w:p>
    <w:p w14:paraId="795C50A6" w14:textId="58A666C2" w:rsidR="00424BDA" w:rsidRPr="0098245F" w:rsidRDefault="00A64D6F" w:rsidP="00424BD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AUGUST</w:t>
      </w:r>
      <w:r w:rsidR="00CA6285">
        <w:rPr>
          <w:color w:val="000000"/>
          <w:sz w:val="28"/>
          <w:szCs w:val="28"/>
        </w:rPr>
        <w:t xml:space="preserve"> 1</w:t>
      </w:r>
      <w:r w:rsidR="001C786D">
        <w:rPr>
          <w:color w:val="000000"/>
          <w:sz w:val="28"/>
          <w:szCs w:val="28"/>
        </w:rPr>
        <w:t>,</w:t>
      </w:r>
      <w:r w:rsidR="00CA6285">
        <w:rPr>
          <w:color w:val="000000"/>
          <w:sz w:val="28"/>
          <w:szCs w:val="28"/>
        </w:rPr>
        <w:t xml:space="preserve"> 202</w:t>
      </w:r>
      <w:r w:rsidR="00C171DB">
        <w:rPr>
          <w:color w:val="000000"/>
          <w:sz w:val="28"/>
          <w:szCs w:val="28"/>
        </w:rPr>
        <w:t>5</w:t>
      </w:r>
      <w:r w:rsidR="00424BDA" w:rsidRPr="0098245F">
        <w:rPr>
          <w:color w:val="000000"/>
          <w:sz w:val="28"/>
          <w:szCs w:val="28"/>
        </w:rPr>
        <w:t xml:space="preserve"> – </w:t>
      </w:r>
      <w:r w:rsidR="00CA6285">
        <w:rPr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ANUARY 3</w:t>
      </w:r>
      <w:r w:rsidR="00CA6285">
        <w:rPr>
          <w:color w:val="000000"/>
          <w:sz w:val="28"/>
          <w:szCs w:val="28"/>
        </w:rPr>
        <w:t>1</w:t>
      </w:r>
      <w:r w:rsidR="00BF43E7">
        <w:rPr>
          <w:color w:val="000000"/>
          <w:sz w:val="28"/>
          <w:szCs w:val="28"/>
        </w:rPr>
        <w:t>, 202</w:t>
      </w:r>
      <w:r>
        <w:rPr>
          <w:color w:val="000000"/>
          <w:sz w:val="28"/>
          <w:szCs w:val="28"/>
        </w:rPr>
        <w:t>6</w:t>
      </w:r>
    </w:p>
    <w:p w14:paraId="658EF78C" w14:textId="77777777" w:rsidR="00EE3908" w:rsidRPr="0098245F" w:rsidRDefault="00EE3908">
      <w:pPr>
        <w:rPr>
          <w:color w:val="000000"/>
        </w:rPr>
      </w:pPr>
    </w:p>
    <w:p w14:paraId="38BBB0D1" w14:textId="77777777" w:rsidR="00B64091" w:rsidRPr="0098245F" w:rsidRDefault="00B64091">
      <w:pPr>
        <w:rPr>
          <w:color w:val="000000"/>
        </w:rPr>
      </w:pPr>
    </w:p>
    <w:p w14:paraId="137B1E8A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t>RFP Issued</w:t>
      </w:r>
    </w:p>
    <w:p w14:paraId="754F5B16" w14:textId="77777777" w:rsidR="00424BDA" w:rsidRPr="0098245F" w:rsidRDefault="00424BDA" w:rsidP="00424BDA">
      <w:pPr>
        <w:rPr>
          <w:b/>
          <w:color w:val="000000"/>
        </w:rPr>
      </w:pPr>
    </w:p>
    <w:p w14:paraId="00665BB9" w14:textId="57BB23CE" w:rsidR="005F660D" w:rsidRPr="0098245F" w:rsidRDefault="005820D9" w:rsidP="00712121">
      <w:pPr>
        <w:ind w:firstLine="360"/>
        <w:rPr>
          <w:color w:val="000000"/>
        </w:rPr>
      </w:pPr>
      <w:r w:rsidRPr="005820D9">
        <w:rPr>
          <w:color w:val="000000"/>
        </w:rPr>
        <w:t>Liberty Utilities</w:t>
      </w:r>
      <w:r>
        <w:rPr>
          <w:color w:val="000000"/>
        </w:rPr>
        <w:t xml:space="preserve"> (</w:t>
      </w:r>
      <w:r w:rsidR="00F26D8F" w:rsidRPr="0098245F">
        <w:rPr>
          <w:color w:val="000000"/>
        </w:rPr>
        <w:t>Granite State Electric</w:t>
      </w:r>
      <w:r>
        <w:rPr>
          <w:color w:val="000000"/>
        </w:rPr>
        <w:t>) Corp.</w:t>
      </w:r>
      <w:r w:rsidR="00414C3D" w:rsidRPr="0098245F">
        <w:rPr>
          <w:color w:val="000000"/>
        </w:rPr>
        <w:t xml:space="preserve"> (“</w:t>
      </w:r>
      <w:r w:rsidRPr="005820D9">
        <w:rPr>
          <w:color w:val="000000"/>
        </w:rPr>
        <w:t>Liberty</w:t>
      </w:r>
      <w:r w:rsidR="00414C3D" w:rsidRPr="0098245F">
        <w:rPr>
          <w:color w:val="000000"/>
        </w:rPr>
        <w:t>”)</w:t>
      </w:r>
      <w:r w:rsidR="005F660D" w:rsidRPr="0098245F">
        <w:rPr>
          <w:color w:val="000000"/>
        </w:rPr>
        <w:t xml:space="preserve"> issued its Request for Po</w:t>
      </w:r>
      <w:r>
        <w:rPr>
          <w:color w:val="000000"/>
        </w:rPr>
        <w:t xml:space="preserve">wer Supply Proposals (“RFP”) on </w:t>
      </w:r>
      <w:r w:rsidR="00A64D6F">
        <w:rPr>
          <w:color w:val="000000"/>
        </w:rPr>
        <w:t>May 1, 2024</w:t>
      </w:r>
      <w:r w:rsidR="006E390C">
        <w:rPr>
          <w:color w:val="000000"/>
        </w:rPr>
        <w:t>,</w:t>
      </w:r>
      <w:r w:rsidR="0032350A" w:rsidRPr="0098245F">
        <w:rPr>
          <w:color w:val="000000"/>
        </w:rPr>
        <w:t xml:space="preserve"> </w:t>
      </w:r>
      <w:r w:rsidR="005F660D" w:rsidRPr="0098245F">
        <w:rPr>
          <w:color w:val="000000"/>
        </w:rPr>
        <w:t xml:space="preserve">to </w:t>
      </w:r>
      <w:proofErr w:type="gramStart"/>
      <w:r w:rsidR="001C6169">
        <w:rPr>
          <w:color w:val="000000"/>
        </w:rPr>
        <w:t>a number of</w:t>
      </w:r>
      <w:proofErr w:type="gramEnd"/>
      <w:r w:rsidR="005F660D" w:rsidRPr="0098245F">
        <w:rPr>
          <w:color w:val="000000"/>
        </w:rPr>
        <w:t xml:space="preserve"> suppliers for the </w:t>
      </w:r>
      <w:r w:rsidR="00952B3E">
        <w:rPr>
          <w:color w:val="000000"/>
        </w:rPr>
        <w:t>six</w:t>
      </w:r>
      <w:r w:rsidR="00B71EA4">
        <w:rPr>
          <w:color w:val="000000"/>
        </w:rPr>
        <w:t xml:space="preserve">-month </w:t>
      </w:r>
      <w:r w:rsidR="005F660D" w:rsidRPr="0098245F">
        <w:rPr>
          <w:color w:val="000000"/>
        </w:rPr>
        <w:t xml:space="preserve">service period </w:t>
      </w:r>
      <w:bookmarkStart w:id="0" w:name="_Hlk105076370"/>
      <w:r w:rsidR="00A64D6F">
        <w:rPr>
          <w:color w:val="000000"/>
        </w:rPr>
        <w:t>August 1, 2025, through January 31, 2026.</w:t>
      </w:r>
      <w:bookmarkEnd w:id="0"/>
    </w:p>
    <w:p w14:paraId="71D97E14" w14:textId="77777777" w:rsidR="005F660D" w:rsidRPr="0098245F" w:rsidRDefault="005F660D" w:rsidP="005F660D">
      <w:pPr>
        <w:rPr>
          <w:color w:val="000000"/>
        </w:rPr>
      </w:pPr>
    </w:p>
    <w:p w14:paraId="3FC6B61C" w14:textId="137ECC21" w:rsidR="005F660D" w:rsidRPr="0098245F" w:rsidRDefault="005F660D" w:rsidP="00712121">
      <w:pPr>
        <w:ind w:firstLine="360"/>
        <w:rPr>
          <w:color w:val="000000"/>
        </w:rPr>
      </w:pPr>
      <w:r w:rsidRPr="0098245F">
        <w:rPr>
          <w:color w:val="000000"/>
        </w:rPr>
        <w:t xml:space="preserve">The RFP was also distributed to all members of the NEPOOL Markets Committee and posted on </w:t>
      </w:r>
      <w:r w:rsidR="005820D9">
        <w:rPr>
          <w:color w:val="000000"/>
        </w:rPr>
        <w:t>Liberty</w:t>
      </w:r>
      <w:r w:rsidR="00100286">
        <w:rPr>
          <w:color w:val="000000"/>
        </w:rPr>
        <w:t>’s</w:t>
      </w:r>
      <w:r w:rsidR="00B21006" w:rsidRPr="0098245F">
        <w:rPr>
          <w:color w:val="000000"/>
        </w:rPr>
        <w:t xml:space="preserve"> energy supply web</w:t>
      </w:r>
      <w:r w:rsidRPr="0098245F">
        <w:rPr>
          <w:color w:val="000000"/>
        </w:rPr>
        <w:t xml:space="preserve">site.  As a result, the RFP had wide distribution throughout the New England energy supply marketplace.  </w:t>
      </w:r>
    </w:p>
    <w:p w14:paraId="4545272A" w14:textId="77777777" w:rsidR="005F660D" w:rsidRPr="0098245F" w:rsidRDefault="005F660D" w:rsidP="005F660D">
      <w:pPr>
        <w:rPr>
          <w:color w:val="000000"/>
        </w:rPr>
      </w:pPr>
    </w:p>
    <w:p w14:paraId="08FC4BAE" w14:textId="16C329BE" w:rsidR="005F660D" w:rsidRPr="0098245F" w:rsidRDefault="005F660D" w:rsidP="00712121">
      <w:pPr>
        <w:ind w:firstLine="360"/>
        <w:rPr>
          <w:color w:val="000000"/>
        </w:rPr>
      </w:pPr>
      <w:r w:rsidRPr="0098245F">
        <w:rPr>
          <w:color w:val="000000"/>
        </w:rPr>
        <w:t xml:space="preserve">The procurement was conducted in </w:t>
      </w:r>
      <w:r w:rsidR="006D2775">
        <w:rPr>
          <w:color w:val="000000"/>
        </w:rPr>
        <w:t xml:space="preserve">the same </w:t>
      </w:r>
      <w:r w:rsidR="00E5645D">
        <w:rPr>
          <w:color w:val="000000"/>
        </w:rPr>
        <w:t xml:space="preserve">manner as prior procurements and in </w:t>
      </w:r>
      <w:r w:rsidRPr="0098245F">
        <w:rPr>
          <w:color w:val="000000"/>
        </w:rPr>
        <w:t xml:space="preserve">accordance with applicable New Hampshire rules and regulations including </w:t>
      </w:r>
      <w:r w:rsidR="005820D9">
        <w:rPr>
          <w:color w:val="000000"/>
        </w:rPr>
        <w:t>Liberty</w:t>
      </w:r>
      <w:r w:rsidR="00100286">
        <w:rPr>
          <w:color w:val="000000"/>
        </w:rPr>
        <w:t>’s</w:t>
      </w:r>
      <w:r w:rsidRPr="0098245F">
        <w:rPr>
          <w:color w:val="000000"/>
        </w:rPr>
        <w:t xml:space="preserve"> Second Amended Restructuring Settlement Agreement (“Restructuring Settlement”), RSA 374-F (“New Hampshire Act”)</w:t>
      </w:r>
      <w:r w:rsidR="007F3B03">
        <w:rPr>
          <w:color w:val="000000"/>
        </w:rPr>
        <w:t>,</w:t>
      </w:r>
      <w:r w:rsidRPr="0098245F">
        <w:rPr>
          <w:color w:val="000000"/>
        </w:rPr>
        <w:t xml:space="preserve"> and Granite State Electric Company Post-Transition Service </w:t>
      </w:r>
      <w:r w:rsidR="00D374EC">
        <w:rPr>
          <w:color w:val="000000"/>
        </w:rPr>
        <w:t>Energy</w:t>
      </w:r>
      <w:r w:rsidRPr="0098245F">
        <w:rPr>
          <w:color w:val="000000"/>
        </w:rPr>
        <w:t xml:space="preserve"> Service Proposal Settlement Agreement (“New Hampshire Settlement Agreement”) approved by the New Hampshire Public Utilities Commission in Order No. 24,577</w:t>
      </w:r>
      <w:r w:rsidR="006E390C">
        <w:rPr>
          <w:color w:val="000000"/>
        </w:rPr>
        <w:t xml:space="preserve"> (</w:t>
      </w:r>
      <w:r w:rsidR="00695C8D">
        <w:rPr>
          <w:color w:val="000000"/>
        </w:rPr>
        <w:t>J</w:t>
      </w:r>
      <w:r w:rsidR="00100286">
        <w:rPr>
          <w:color w:val="000000"/>
        </w:rPr>
        <w:t>an.</w:t>
      </w:r>
      <w:r w:rsidR="00695C8D">
        <w:rPr>
          <w:color w:val="000000"/>
        </w:rPr>
        <w:t xml:space="preserve"> 1</w:t>
      </w:r>
      <w:r w:rsidR="006E390C">
        <w:rPr>
          <w:color w:val="000000"/>
        </w:rPr>
        <w:t>3, 2006)</w:t>
      </w:r>
      <w:r w:rsidRPr="0098245F">
        <w:rPr>
          <w:color w:val="000000"/>
        </w:rPr>
        <w:t>.</w:t>
      </w:r>
    </w:p>
    <w:p w14:paraId="51F00862" w14:textId="77777777" w:rsidR="005F660D" w:rsidRPr="0098245F" w:rsidRDefault="005F660D" w:rsidP="005F660D">
      <w:pPr>
        <w:rPr>
          <w:color w:val="000000"/>
        </w:rPr>
      </w:pPr>
    </w:p>
    <w:p w14:paraId="007E7DF5" w14:textId="4AE417F2" w:rsidR="005F660D" w:rsidRPr="0098245F" w:rsidRDefault="005820D9" w:rsidP="00712121">
      <w:pPr>
        <w:ind w:firstLine="360"/>
        <w:rPr>
          <w:color w:val="000000"/>
        </w:rPr>
      </w:pPr>
      <w:r>
        <w:rPr>
          <w:color w:val="000000"/>
        </w:rPr>
        <w:t>Liberty</w:t>
      </w:r>
      <w:r w:rsidR="00100286">
        <w:rPr>
          <w:color w:val="000000"/>
        </w:rPr>
        <w:t>’s</w:t>
      </w:r>
      <w:r w:rsidR="00642D71" w:rsidRPr="0098245F">
        <w:rPr>
          <w:color w:val="000000"/>
        </w:rPr>
        <w:t xml:space="preserve"> RFP </w:t>
      </w:r>
      <w:r w:rsidR="005F660D" w:rsidRPr="0098245F">
        <w:rPr>
          <w:color w:val="000000"/>
        </w:rPr>
        <w:t>requested all-</w:t>
      </w:r>
      <w:r w:rsidR="00410996">
        <w:rPr>
          <w:color w:val="000000"/>
        </w:rPr>
        <w:t>inclusive pricing for</w:t>
      </w:r>
      <w:r w:rsidR="005F660D" w:rsidRPr="0098245F">
        <w:rPr>
          <w:color w:val="000000"/>
        </w:rPr>
        <w:t>:</w:t>
      </w:r>
    </w:p>
    <w:p w14:paraId="5B1A1F56" w14:textId="4F63988C" w:rsidR="00D50D8E" w:rsidRPr="002338C7" w:rsidRDefault="00C171DB" w:rsidP="005B00AF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5</w:t>
      </w:r>
      <w:r w:rsidR="00091616">
        <w:rPr>
          <w:color w:val="000000"/>
        </w:rPr>
        <w:t>0%</w:t>
      </w:r>
      <w:r w:rsidR="00D50D8E" w:rsidRPr="002338C7">
        <w:rPr>
          <w:color w:val="000000"/>
        </w:rPr>
        <w:t xml:space="preserve"> of the </w:t>
      </w:r>
      <w:r w:rsidR="00D50D8E">
        <w:rPr>
          <w:color w:val="000000"/>
        </w:rPr>
        <w:t>Small</w:t>
      </w:r>
      <w:r w:rsidR="00D50D8E" w:rsidRPr="002338C7">
        <w:rPr>
          <w:color w:val="000000"/>
        </w:rPr>
        <w:t xml:space="preserve"> Customer Group </w:t>
      </w:r>
      <w:r w:rsidR="00D374EC">
        <w:rPr>
          <w:color w:val="000000"/>
        </w:rPr>
        <w:t>Energy</w:t>
      </w:r>
      <w:r w:rsidR="00D50D8E" w:rsidRPr="002338C7">
        <w:rPr>
          <w:color w:val="000000"/>
        </w:rPr>
        <w:t xml:space="preserve"> Service requirements for the </w:t>
      </w:r>
      <w:r w:rsidR="00952B3E">
        <w:rPr>
          <w:color w:val="000000"/>
        </w:rPr>
        <w:t>six-month</w:t>
      </w:r>
      <w:r w:rsidR="00B71EA4">
        <w:rPr>
          <w:color w:val="000000"/>
        </w:rPr>
        <w:t xml:space="preserve"> </w:t>
      </w:r>
      <w:r w:rsidR="00D50D8E" w:rsidRPr="002338C7">
        <w:rPr>
          <w:color w:val="000000"/>
        </w:rPr>
        <w:t xml:space="preserve">period </w:t>
      </w:r>
      <w:r w:rsidR="00A64D6F">
        <w:rPr>
          <w:color w:val="000000"/>
        </w:rPr>
        <w:t>August 1, 2025, through January 31, 2026.</w:t>
      </w:r>
    </w:p>
    <w:p w14:paraId="1431182C" w14:textId="77777777" w:rsidR="005F660D" w:rsidRPr="0098245F" w:rsidRDefault="005F660D" w:rsidP="005F660D">
      <w:pPr>
        <w:rPr>
          <w:color w:val="000000"/>
        </w:rPr>
      </w:pPr>
    </w:p>
    <w:p w14:paraId="3A791DC3" w14:textId="67281F77" w:rsidR="00424BDA" w:rsidRPr="0098245F" w:rsidRDefault="00D50D8E" w:rsidP="00BD3091">
      <w:pPr>
        <w:ind w:firstLine="360"/>
        <w:rPr>
          <w:color w:val="000000"/>
        </w:rPr>
      </w:pPr>
      <w:r>
        <w:rPr>
          <w:color w:val="000000"/>
        </w:rPr>
        <w:t>A description of the</w:t>
      </w:r>
      <w:r w:rsidR="005F660D" w:rsidRPr="0098245F">
        <w:rPr>
          <w:color w:val="000000"/>
        </w:rPr>
        <w:t xml:space="preserve"> load block</w:t>
      </w:r>
      <w:r>
        <w:rPr>
          <w:color w:val="000000"/>
        </w:rPr>
        <w:t xml:space="preserve"> </w:t>
      </w:r>
      <w:r w:rsidR="006E390C">
        <w:rPr>
          <w:color w:val="000000"/>
        </w:rPr>
        <w:t>is</w:t>
      </w:r>
      <w:r w:rsidR="005F660D" w:rsidRPr="0098245F">
        <w:rPr>
          <w:color w:val="000000"/>
        </w:rPr>
        <w:t xml:space="preserve"> provided in </w:t>
      </w:r>
      <w:r w:rsidR="005C2901" w:rsidRPr="0098245F">
        <w:rPr>
          <w:color w:val="000000"/>
        </w:rPr>
        <w:t>Exhibit</w:t>
      </w:r>
      <w:r w:rsidR="005F660D" w:rsidRPr="0098245F">
        <w:rPr>
          <w:color w:val="000000"/>
        </w:rPr>
        <w:t xml:space="preserve"> 1.</w:t>
      </w:r>
    </w:p>
    <w:p w14:paraId="53778A25" w14:textId="77777777" w:rsidR="00DC3919" w:rsidRPr="0098245F" w:rsidRDefault="00DC3919" w:rsidP="00AD305C">
      <w:pPr>
        <w:rPr>
          <w:color w:val="000000"/>
        </w:rPr>
      </w:pPr>
    </w:p>
    <w:p w14:paraId="2BFB9226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t>Key RFP Dates</w:t>
      </w:r>
    </w:p>
    <w:p w14:paraId="6D227413" w14:textId="77777777" w:rsidR="00424BDA" w:rsidRPr="0098245F" w:rsidRDefault="00424BDA" w:rsidP="00424BDA">
      <w:pPr>
        <w:rPr>
          <w:color w:val="000000"/>
        </w:rPr>
      </w:pPr>
    </w:p>
    <w:p w14:paraId="5DCBE68D" w14:textId="451B86B2" w:rsidR="005F660D" w:rsidRPr="0098245F" w:rsidRDefault="005F660D" w:rsidP="005C79BC">
      <w:pPr>
        <w:numPr>
          <w:ilvl w:val="0"/>
          <w:numId w:val="27"/>
        </w:numPr>
        <w:rPr>
          <w:color w:val="000000"/>
        </w:rPr>
      </w:pPr>
      <w:r w:rsidRPr="0098245F">
        <w:rPr>
          <w:color w:val="000000"/>
        </w:rPr>
        <w:t xml:space="preserve">The RFP was issued on </w:t>
      </w:r>
      <w:r w:rsidR="00A64D6F">
        <w:rPr>
          <w:color w:val="000000"/>
        </w:rPr>
        <w:t>May 1, 2025</w:t>
      </w:r>
      <w:r w:rsidRPr="0098245F">
        <w:rPr>
          <w:color w:val="000000"/>
        </w:rPr>
        <w:t>.</w:t>
      </w:r>
    </w:p>
    <w:p w14:paraId="72588D8E" w14:textId="4C0B2DE9" w:rsidR="005F660D" w:rsidRPr="0098245F" w:rsidRDefault="005F660D" w:rsidP="005C79BC">
      <w:pPr>
        <w:numPr>
          <w:ilvl w:val="0"/>
          <w:numId w:val="27"/>
        </w:numPr>
        <w:rPr>
          <w:color w:val="000000"/>
        </w:rPr>
      </w:pPr>
      <w:r w:rsidRPr="0098245F">
        <w:rPr>
          <w:color w:val="000000"/>
        </w:rPr>
        <w:t xml:space="preserve">Supplier information was received on </w:t>
      </w:r>
      <w:r w:rsidR="00A64D6F">
        <w:rPr>
          <w:color w:val="000000"/>
        </w:rPr>
        <w:t>May 16, 2025.</w:t>
      </w:r>
    </w:p>
    <w:p w14:paraId="4A3B74B9" w14:textId="28804928" w:rsidR="005F660D" w:rsidRPr="0098245F" w:rsidRDefault="005F660D" w:rsidP="005C79BC">
      <w:pPr>
        <w:numPr>
          <w:ilvl w:val="0"/>
          <w:numId w:val="27"/>
        </w:numPr>
        <w:rPr>
          <w:color w:val="000000"/>
        </w:rPr>
      </w:pPr>
      <w:r w:rsidRPr="0098245F">
        <w:rPr>
          <w:color w:val="000000"/>
        </w:rPr>
        <w:t xml:space="preserve">Indicative bids were received on </w:t>
      </w:r>
      <w:r w:rsidR="00A64D6F">
        <w:rPr>
          <w:color w:val="000000"/>
        </w:rPr>
        <w:t>June 10, 2025</w:t>
      </w:r>
      <w:r w:rsidRPr="0098245F">
        <w:rPr>
          <w:color w:val="000000"/>
        </w:rPr>
        <w:t>.</w:t>
      </w:r>
    </w:p>
    <w:p w14:paraId="65F9CC06" w14:textId="46E93C21" w:rsidR="00B64091" w:rsidRPr="0098245F" w:rsidRDefault="005F660D" w:rsidP="00CA2373">
      <w:pPr>
        <w:numPr>
          <w:ilvl w:val="0"/>
          <w:numId w:val="27"/>
        </w:numPr>
        <w:rPr>
          <w:color w:val="000000"/>
        </w:rPr>
      </w:pPr>
      <w:r w:rsidRPr="0098245F">
        <w:rPr>
          <w:color w:val="000000"/>
        </w:rPr>
        <w:t xml:space="preserve">Final bids were received on </w:t>
      </w:r>
      <w:r w:rsidR="00A64D6F">
        <w:rPr>
          <w:color w:val="000000"/>
        </w:rPr>
        <w:t>June</w:t>
      </w:r>
      <w:r w:rsidR="00C171DB">
        <w:rPr>
          <w:color w:val="000000"/>
        </w:rPr>
        <w:t xml:space="preserve"> 17</w:t>
      </w:r>
      <w:r w:rsidR="00383745">
        <w:rPr>
          <w:color w:val="000000"/>
        </w:rPr>
        <w:t>, 202</w:t>
      </w:r>
      <w:r w:rsidR="00A64D6F">
        <w:rPr>
          <w:color w:val="000000"/>
        </w:rPr>
        <w:t>5</w:t>
      </w:r>
      <w:r w:rsidRPr="0098245F">
        <w:rPr>
          <w:color w:val="000000"/>
        </w:rPr>
        <w:t>.</w:t>
      </w:r>
    </w:p>
    <w:p w14:paraId="3B14F4D2" w14:textId="77777777" w:rsidR="00DC3919" w:rsidRPr="0098245F" w:rsidRDefault="00DC3919" w:rsidP="00AD305C">
      <w:pPr>
        <w:rPr>
          <w:color w:val="000000"/>
        </w:rPr>
      </w:pPr>
    </w:p>
    <w:p w14:paraId="2E00F2AF" w14:textId="77777777" w:rsidR="00F846D4" w:rsidRDefault="00F846D4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56AE79B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lastRenderedPageBreak/>
        <w:t>Contract Submissions</w:t>
      </w:r>
    </w:p>
    <w:p w14:paraId="214422D1" w14:textId="77777777" w:rsidR="00424BDA" w:rsidRPr="0098245F" w:rsidRDefault="00424BDA" w:rsidP="00424BDA">
      <w:pPr>
        <w:rPr>
          <w:color w:val="000000"/>
        </w:rPr>
      </w:pPr>
    </w:p>
    <w:p w14:paraId="4DF868FE" w14:textId="2B777815" w:rsidR="005F660D" w:rsidRPr="0098245F" w:rsidRDefault="00545E75" w:rsidP="005C79BC">
      <w:pPr>
        <w:ind w:firstLine="360"/>
        <w:rPr>
          <w:color w:val="000000"/>
        </w:rPr>
      </w:pPr>
      <w:r w:rsidRPr="0098245F">
        <w:rPr>
          <w:color w:val="000000"/>
        </w:rPr>
        <w:t>All</w:t>
      </w:r>
      <w:r w:rsidR="00FF1934" w:rsidRPr="0098245F">
        <w:rPr>
          <w:color w:val="000000"/>
        </w:rPr>
        <w:t xml:space="preserve"> </w:t>
      </w:r>
      <w:r w:rsidR="002338C7">
        <w:rPr>
          <w:color w:val="000000"/>
        </w:rPr>
        <w:t>bidder</w:t>
      </w:r>
      <w:r w:rsidR="00040BC8">
        <w:rPr>
          <w:color w:val="000000"/>
        </w:rPr>
        <w:t>s</w:t>
      </w:r>
      <w:r w:rsidR="005F660D" w:rsidRPr="0098245F">
        <w:rPr>
          <w:color w:val="000000"/>
        </w:rPr>
        <w:t xml:space="preserve"> had previously executed Master Power Agreements with </w:t>
      </w:r>
      <w:r w:rsidR="005820D9">
        <w:rPr>
          <w:color w:val="000000"/>
        </w:rPr>
        <w:t>Liberty</w:t>
      </w:r>
      <w:r w:rsidR="005F660D" w:rsidRPr="0098245F">
        <w:rPr>
          <w:color w:val="000000"/>
        </w:rPr>
        <w:t>.</w:t>
      </w:r>
      <w:r w:rsidR="002338C7">
        <w:rPr>
          <w:color w:val="000000"/>
        </w:rPr>
        <w:t xml:space="preserve">  </w:t>
      </w:r>
    </w:p>
    <w:p w14:paraId="4DE0B389" w14:textId="77777777" w:rsidR="005F660D" w:rsidRPr="0098245F" w:rsidRDefault="005F660D" w:rsidP="005F660D">
      <w:pPr>
        <w:rPr>
          <w:color w:val="000000"/>
        </w:rPr>
      </w:pPr>
    </w:p>
    <w:p w14:paraId="405471C0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t>Indicative Bids</w:t>
      </w:r>
    </w:p>
    <w:p w14:paraId="029CAA92" w14:textId="77777777" w:rsidR="00DF1C74" w:rsidRPr="0098245F" w:rsidRDefault="00DF1C74" w:rsidP="00DF1C74">
      <w:pPr>
        <w:rPr>
          <w:color w:val="000000"/>
        </w:rPr>
      </w:pPr>
    </w:p>
    <w:p w14:paraId="4F485205" w14:textId="5D9513A3" w:rsidR="00FF1934" w:rsidRPr="0098245F" w:rsidRDefault="005F660D" w:rsidP="00AD305C">
      <w:pPr>
        <w:ind w:firstLine="360"/>
        <w:rPr>
          <w:color w:val="000000"/>
        </w:rPr>
      </w:pPr>
      <w:r w:rsidRPr="0098245F">
        <w:rPr>
          <w:color w:val="000000"/>
        </w:rPr>
        <w:t xml:space="preserve">Indicative bids were received on </w:t>
      </w:r>
      <w:r w:rsidR="00C171DB">
        <w:rPr>
          <w:color w:val="000000"/>
        </w:rPr>
        <w:t>December</w:t>
      </w:r>
      <w:r w:rsidR="00091616">
        <w:rPr>
          <w:color w:val="000000"/>
        </w:rPr>
        <w:t xml:space="preserve"> 1</w:t>
      </w:r>
      <w:r w:rsidR="00C171DB">
        <w:rPr>
          <w:color w:val="000000"/>
        </w:rPr>
        <w:t>0</w:t>
      </w:r>
      <w:r w:rsidR="00383745">
        <w:rPr>
          <w:color w:val="000000"/>
        </w:rPr>
        <w:t>, 202</w:t>
      </w:r>
      <w:r w:rsidR="00091616">
        <w:rPr>
          <w:color w:val="000000"/>
        </w:rPr>
        <w:t>4</w:t>
      </w:r>
      <w:r w:rsidR="006E390C">
        <w:rPr>
          <w:color w:val="000000"/>
        </w:rPr>
        <w:t>,</w:t>
      </w:r>
      <w:r w:rsidR="00E94B04">
        <w:rPr>
          <w:color w:val="000000"/>
        </w:rPr>
        <w:t xml:space="preserve"> </w:t>
      </w:r>
      <w:r w:rsidR="001F105C">
        <w:rPr>
          <w:color w:val="000000"/>
        </w:rPr>
        <w:t xml:space="preserve">from </w:t>
      </w:r>
      <w:r w:rsidR="002F56C3">
        <w:rPr>
          <w:b/>
          <w:color w:val="000000"/>
          <w:highlight w:val="lightGray"/>
        </w:rPr>
        <w:t>four</w:t>
      </w:r>
      <w:r w:rsidR="00754037">
        <w:rPr>
          <w:color w:val="000000"/>
        </w:rPr>
        <w:t xml:space="preserve"> bidders for the small customer group</w:t>
      </w:r>
      <w:r w:rsidRPr="0098245F">
        <w:rPr>
          <w:color w:val="000000"/>
        </w:rPr>
        <w:t>.</w:t>
      </w:r>
      <w:r w:rsidR="00AD305C" w:rsidRPr="0098245F">
        <w:rPr>
          <w:color w:val="000000"/>
        </w:rPr>
        <w:t xml:space="preserve">  </w:t>
      </w:r>
      <w:r w:rsidRPr="0098245F">
        <w:rPr>
          <w:color w:val="000000"/>
        </w:rPr>
        <w:t xml:space="preserve">The indicative bids were evaluated and ranked (see </w:t>
      </w:r>
      <w:r w:rsidR="005C2901" w:rsidRPr="0098245F">
        <w:rPr>
          <w:color w:val="000000"/>
        </w:rPr>
        <w:t>Exhibit</w:t>
      </w:r>
      <w:r w:rsidRPr="0098245F">
        <w:rPr>
          <w:color w:val="000000"/>
        </w:rPr>
        <w:t>s 2 and 3).  Indicative pricing was used only to determine current market prices, to prepare an initial ranking of bids</w:t>
      </w:r>
      <w:r w:rsidR="00E94B04">
        <w:rPr>
          <w:color w:val="000000"/>
        </w:rPr>
        <w:t>,</w:t>
      </w:r>
      <w:r w:rsidRPr="0098245F">
        <w:rPr>
          <w:color w:val="000000"/>
        </w:rPr>
        <w:t xml:space="preserve"> and to i</w:t>
      </w:r>
      <w:r w:rsidR="009F652A" w:rsidRPr="0098245F">
        <w:rPr>
          <w:color w:val="000000"/>
        </w:rPr>
        <w:t>dentify any bidding anomalies.  T</w:t>
      </w:r>
      <w:r w:rsidR="00FF1934" w:rsidRPr="0098245F">
        <w:rPr>
          <w:color w:val="000000"/>
        </w:rPr>
        <w:t xml:space="preserve">he retail prices in </w:t>
      </w:r>
      <w:r w:rsidR="005C2901" w:rsidRPr="0098245F">
        <w:rPr>
          <w:color w:val="000000"/>
        </w:rPr>
        <w:t>Exhibit</w:t>
      </w:r>
      <w:r w:rsidR="00FF1934" w:rsidRPr="0098245F">
        <w:rPr>
          <w:color w:val="000000"/>
        </w:rPr>
        <w:t xml:space="preserve"> 3 were calculated by adjusting the wholesale prices in </w:t>
      </w:r>
      <w:r w:rsidR="005C2901" w:rsidRPr="0098245F">
        <w:rPr>
          <w:color w:val="000000"/>
        </w:rPr>
        <w:t>Exhibit</w:t>
      </w:r>
      <w:r w:rsidR="00FF1934" w:rsidRPr="0098245F">
        <w:rPr>
          <w:color w:val="000000"/>
        </w:rPr>
        <w:t xml:space="preserve"> 2 by the ratio of wholesale purchases to retail deliveries.</w:t>
      </w:r>
    </w:p>
    <w:p w14:paraId="247F5F64" w14:textId="77777777" w:rsidR="005F660D" w:rsidRPr="0098245F" w:rsidRDefault="005F660D" w:rsidP="005F660D">
      <w:pPr>
        <w:rPr>
          <w:color w:val="000000"/>
        </w:rPr>
      </w:pPr>
    </w:p>
    <w:p w14:paraId="457B3414" w14:textId="1888A456" w:rsidR="005F660D" w:rsidRPr="0098245F" w:rsidRDefault="005F660D" w:rsidP="005C79BC">
      <w:pPr>
        <w:ind w:firstLine="360"/>
        <w:rPr>
          <w:color w:val="000000"/>
        </w:rPr>
      </w:pPr>
      <w:r w:rsidRPr="0098245F">
        <w:rPr>
          <w:color w:val="000000"/>
        </w:rPr>
        <w:t xml:space="preserve">The lowest indicative bids for each load block were compared to </w:t>
      </w:r>
      <w:r w:rsidR="005820D9">
        <w:rPr>
          <w:color w:val="000000"/>
        </w:rPr>
        <w:t>Liberty</w:t>
      </w:r>
      <w:r w:rsidR="00100286">
        <w:rPr>
          <w:color w:val="000000"/>
        </w:rPr>
        <w:t>’s</w:t>
      </w:r>
      <w:r w:rsidRPr="0098245F">
        <w:rPr>
          <w:color w:val="000000"/>
        </w:rPr>
        <w:t xml:space="preserve"> estimate of expected indicative bids.  </w:t>
      </w:r>
      <w:r w:rsidR="0082053D">
        <w:rPr>
          <w:color w:val="000000"/>
        </w:rPr>
        <w:t>E</w:t>
      </w:r>
      <w:r w:rsidRPr="0098245F">
        <w:rPr>
          <w:color w:val="000000"/>
        </w:rPr>
        <w:t xml:space="preserve">xpected bid prices </w:t>
      </w:r>
      <w:r w:rsidR="0082053D">
        <w:rPr>
          <w:color w:val="000000"/>
        </w:rPr>
        <w:t xml:space="preserve">were calculated </w:t>
      </w:r>
      <w:r w:rsidR="00852B91">
        <w:rPr>
          <w:color w:val="000000"/>
        </w:rPr>
        <w:t xml:space="preserve">by comparing </w:t>
      </w:r>
      <w:r w:rsidRPr="0098245F">
        <w:rPr>
          <w:color w:val="000000"/>
        </w:rPr>
        <w:t>the historical relationship of bid price</w:t>
      </w:r>
      <w:r w:rsidR="00852B91">
        <w:rPr>
          <w:color w:val="000000"/>
        </w:rPr>
        <w:t>s</w:t>
      </w:r>
      <w:r w:rsidRPr="0098245F">
        <w:rPr>
          <w:color w:val="000000"/>
        </w:rPr>
        <w:t xml:space="preserve"> to </w:t>
      </w:r>
      <w:r w:rsidR="00852B91">
        <w:rPr>
          <w:color w:val="000000"/>
        </w:rPr>
        <w:t xml:space="preserve">the </w:t>
      </w:r>
      <w:r w:rsidRPr="0098245F">
        <w:rPr>
          <w:color w:val="000000"/>
        </w:rPr>
        <w:t xml:space="preserve">market components that comprise </w:t>
      </w:r>
      <w:r w:rsidR="00852B91">
        <w:rPr>
          <w:color w:val="000000"/>
        </w:rPr>
        <w:t xml:space="preserve">those </w:t>
      </w:r>
      <w:r w:rsidRPr="0098245F">
        <w:rPr>
          <w:color w:val="000000"/>
        </w:rPr>
        <w:t>bid price</w:t>
      </w:r>
      <w:r w:rsidR="00852B91">
        <w:rPr>
          <w:color w:val="000000"/>
        </w:rPr>
        <w:t>s</w:t>
      </w:r>
      <w:r w:rsidRPr="0098245F">
        <w:rPr>
          <w:color w:val="000000"/>
        </w:rPr>
        <w:t xml:space="preserve"> (see </w:t>
      </w:r>
      <w:r w:rsidR="005C2901" w:rsidRPr="0098245F">
        <w:rPr>
          <w:color w:val="000000"/>
        </w:rPr>
        <w:t>Exhibit</w:t>
      </w:r>
      <w:r w:rsidRPr="0098245F">
        <w:rPr>
          <w:color w:val="000000"/>
        </w:rPr>
        <w:t xml:space="preserve"> 4).  This method utilizes a detailed on-peak </w:t>
      </w:r>
      <w:r w:rsidR="00C429EE">
        <w:rPr>
          <w:color w:val="000000"/>
        </w:rPr>
        <w:t>and</w:t>
      </w:r>
      <w:r w:rsidR="00C429EE" w:rsidRPr="0098245F">
        <w:rPr>
          <w:color w:val="000000"/>
        </w:rPr>
        <w:t xml:space="preserve"> </w:t>
      </w:r>
      <w:r w:rsidRPr="0098245F">
        <w:rPr>
          <w:color w:val="000000"/>
        </w:rPr>
        <w:t>off-peak calculation and incorporate</w:t>
      </w:r>
      <w:r w:rsidR="00A0275E" w:rsidRPr="0098245F">
        <w:rPr>
          <w:color w:val="000000"/>
        </w:rPr>
        <w:t>s</w:t>
      </w:r>
      <w:r w:rsidRPr="0098245F">
        <w:rPr>
          <w:color w:val="000000"/>
        </w:rPr>
        <w:t xml:space="preserve"> all bid components: energy, capacity, and ancillary services. </w:t>
      </w:r>
    </w:p>
    <w:p w14:paraId="2289B850" w14:textId="77777777" w:rsidR="005F660D" w:rsidRPr="0098245F" w:rsidRDefault="005F660D" w:rsidP="005F660D">
      <w:pPr>
        <w:rPr>
          <w:color w:val="000000"/>
        </w:rPr>
      </w:pPr>
    </w:p>
    <w:p w14:paraId="18708EC3" w14:textId="214676F4" w:rsidR="005F660D" w:rsidRPr="0098245F" w:rsidRDefault="005F660D" w:rsidP="002338C7">
      <w:pPr>
        <w:ind w:firstLine="360"/>
        <w:rPr>
          <w:color w:val="000000"/>
        </w:rPr>
      </w:pPr>
      <w:r w:rsidRPr="0098245F">
        <w:rPr>
          <w:color w:val="000000"/>
        </w:rPr>
        <w:t xml:space="preserve">In evaluating the bid prices, </w:t>
      </w:r>
      <w:r w:rsidR="005820D9">
        <w:rPr>
          <w:color w:val="000000"/>
        </w:rPr>
        <w:t>Liberty</w:t>
      </w:r>
      <w:r w:rsidR="00F26D8F" w:rsidRPr="0098245F">
        <w:rPr>
          <w:color w:val="000000"/>
        </w:rPr>
        <w:t xml:space="preserve"> </w:t>
      </w:r>
      <w:r w:rsidRPr="0098245F">
        <w:rPr>
          <w:color w:val="000000"/>
        </w:rPr>
        <w:t>compared the expected bid price for each block</w:t>
      </w:r>
      <w:r w:rsidR="00852B91">
        <w:rPr>
          <w:color w:val="000000"/>
        </w:rPr>
        <w:t>,</w:t>
      </w:r>
      <w:r w:rsidRPr="0098245F">
        <w:rPr>
          <w:color w:val="000000"/>
        </w:rPr>
        <w:t xml:space="preserve"> </w:t>
      </w:r>
      <w:r w:rsidR="00852B91">
        <w:rPr>
          <w:color w:val="000000"/>
        </w:rPr>
        <w:t xml:space="preserve">as derived above, </w:t>
      </w:r>
      <w:r w:rsidRPr="0098245F">
        <w:rPr>
          <w:color w:val="000000"/>
        </w:rPr>
        <w:t xml:space="preserve">to the lowest average indicative bid price for the block. </w:t>
      </w:r>
    </w:p>
    <w:p w14:paraId="31217D12" w14:textId="77777777" w:rsidR="005F660D" w:rsidRPr="0098245F" w:rsidRDefault="005F660D" w:rsidP="005F660D">
      <w:pPr>
        <w:rPr>
          <w:color w:val="000000"/>
        </w:rPr>
      </w:pPr>
    </w:p>
    <w:p w14:paraId="6CC7F826" w14:textId="4D153AD4" w:rsidR="005F660D" w:rsidRPr="0098245F" w:rsidRDefault="005F660D" w:rsidP="005C79BC">
      <w:pPr>
        <w:ind w:firstLine="252"/>
        <w:rPr>
          <w:color w:val="000000"/>
        </w:rPr>
      </w:pPr>
      <w:r w:rsidRPr="0098245F">
        <w:rPr>
          <w:color w:val="000000"/>
        </w:rPr>
        <w:t xml:space="preserve">In addition to evaluating the bid price and ability to meet credit requirements, </w:t>
      </w:r>
      <w:r w:rsidR="005820D9">
        <w:rPr>
          <w:color w:val="000000"/>
        </w:rPr>
        <w:t>Liberty</w:t>
      </w:r>
      <w:r w:rsidR="00F26D8F" w:rsidRPr="0098245F">
        <w:rPr>
          <w:color w:val="000000"/>
        </w:rPr>
        <w:t xml:space="preserve"> </w:t>
      </w:r>
      <w:r w:rsidRPr="0098245F">
        <w:rPr>
          <w:color w:val="000000"/>
        </w:rPr>
        <w:t xml:space="preserve">also performed a qualitative review of each bidder’s ability to provide </w:t>
      </w:r>
      <w:r w:rsidR="00D374EC">
        <w:rPr>
          <w:color w:val="000000"/>
        </w:rPr>
        <w:t>Energy</w:t>
      </w:r>
      <w:r w:rsidRPr="0098245F">
        <w:rPr>
          <w:color w:val="000000"/>
        </w:rPr>
        <w:t xml:space="preserve"> Service during the service period based on the following:</w:t>
      </w:r>
    </w:p>
    <w:p w14:paraId="4E87B720" w14:textId="7B3D8D8B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The bidder’s past experience in providing similar services to </w:t>
      </w:r>
      <w:r w:rsidR="005820D9">
        <w:rPr>
          <w:color w:val="000000"/>
        </w:rPr>
        <w:t xml:space="preserve">Liberty </w:t>
      </w:r>
      <w:r w:rsidRPr="0098245F">
        <w:rPr>
          <w:color w:val="000000"/>
        </w:rPr>
        <w:t xml:space="preserve">or its </w:t>
      </w:r>
      <w:proofErr w:type="gramStart"/>
      <w:r w:rsidRPr="0098245F">
        <w:rPr>
          <w:color w:val="000000"/>
        </w:rPr>
        <w:t>affiliates;</w:t>
      </w:r>
      <w:proofErr w:type="gramEnd"/>
    </w:p>
    <w:p w14:paraId="47892110" w14:textId="77777777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The bidder’s past experience in providing similar services to other companies in New </w:t>
      </w:r>
      <w:proofErr w:type="gramStart"/>
      <w:r w:rsidRPr="0098245F">
        <w:rPr>
          <w:color w:val="000000"/>
        </w:rPr>
        <w:t>England;</w:t>
      </w:r>
      <w:proofErr w:type="gramEnd"/>
    </w:p>
    <w:p w14:paraId="72C645DD" w14:textId="77777777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The bidder’s past experience in providing similar services to other companies in other </w:t>
      </w:r>
      <w:proofErr w:type="gramStart"/>
      <w:r w:rsidRPr="0098245F">
        <w:rPr>
          <w:color w:val="000000"/>
        </w:rPr>
        <w:t>regions;</w:t>
      </w:r>
      <w:proofErr w:type="gramEnd"/>
    </w:p>
    <w:p w14:paraId="3B73346F" w14:textId="77777777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The bidder’s demonstrated understanding of the market rules related to the provision of </w:t>
      </w:r>
      <w:r w:rsidR="00D374EC">
        <w:rPr>
          <w:color w:val="000000"/>
        </w:rPr>
        <w:t>Energy</w:t>
      </w:r>
      <w:r w:rsidRPr="0098245F">
        <w:rPr>
          <w:color w:val="000000"/>
        </w:rPr>
        <w:t xml:space="preserve"> </w:t>
      </w:r>
      <w:proofErr w:type="gramStart"/>
      <w:r w:rsidR="005C79BC" w:rsidRPr="0098245F">
        <w:rPr>
          <w:color w:val="000000"/>
        </w:rPr>
        <w:t>S</w:t>
      </w:r>
      <w:r w:rsidRPr="0098245F">
        <w:rPr>
          <w:color w:val="000000"/>
        </w:rPr>
        <w:t>ervice;</w:t>
      </w:r>
      <w:proofErr w:type="gramEnd"/>
    </w:p>
    <w:p w14:paraId="4DAF579F" w14:textId="77777777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The bidder’s demonstrated understanding of its obligations under the proposed </w:t>
      </w:r>
      <w:r w:rsidR="003F6716" w:rsidRPr="0098245F">
        <w:rPr>
          <w:color w:val="000000"/>
        </w:rPr>
        <w:t>Master</w:t>
      </w:r>
      <w:r w:rsidRPr="0098245F">
        <w:rPr>
          <w:color w:val="000000"/>
        </w:rPr>
        <w:t xml:space="preserve"> Power Agreement; and</w:t>
      </w:r>
    </w:p>
    <w:p w14:paraId="5AC14BAC" w14:textId="77777777" w:rsidR="005F660D" w:rsidRPr="0098245F" w:rsidRDefault="005F660D" w:rsidP="005C79BC">
      <w:pPr>
        <w:numPr>
          <w:ilvl w:val="0"/>
          <w:numId w:val="29"/>
        </w:numPr>
        <w:tabs>
          <w:tab w:val="left" w:pos="432"/>
        </w:tabs>
        <w:rPr>
          <w:color w:val="000000"/>
        </w:rPr>
      </w:pPr>
      <w:r w:rsidRPr="0098245F">
        <w:rPr>
          <w:color w:val="000000"/>
        </w:rPr>
        <w:t xml:space="preserve">Whether there have been any past or are any present events that are known that may adversely affect the bidder’s ability to provide </w:t>
      </w:r>
      <w:r w:rsidR="00D374EC">
        <w:rPr>
          <w:color w:val="000000"/>
        </w:rPr>
        <w:t>Energy</w:t>
      </w:r>
      <w:r w:rsidRPr="0098245F">
        <w:rPr>
          <w:color w:val="000000"/>
        </w:rPr>
        <w:t xml:space="preserve"> Service. </w:t>
      </w:r>
    </w:p>
    <w:p w14:paraId="4480E851" w14:textId="77777777" w:rsidR="005F660D" w:rsidRPr="0098245F" w:rsidRDefault="005F660D" w:rsidP="005F660D">
      <w:pPr>
        <w:rPr>
          <w:color w:val="000000"/>
        </w:rPr>
      </w:pPr>
    </w:p>
    <w:p w14:paraId="205D354F" w14:textId="427EAAB6" w:rsidR="00626917" w:rsidRPr="00E15C86" w:rsidRDefault="005820D9" w:rsidP="00E15C86">
      <w:pPr>
        <w:ind w:firstLine="360"/>
        <w:rPr>
          <w:color w:val="000000"/>
        </w:rPr>
      </w:pPr>
      <w:r>
        <w:rPr>
          <w:color w:val="000000"/>
        </w:rPr>
        <w:t>Liberty</w:t>
      </w:r>
      <w:r w:rsidR="00F26D8F" w:rsidRPr="0098245F">
        <w:rPr>
          <w:color w:val="000000"/>
        </w:rPr>
        <w:t xml:space="preserve"> </w:t>
      </w:r>
      <w:r w:rsidR="005F660D" w:rsidRPr="0098245F">
        <w:rPr>
          <w:color w:val="000000"/>
        </w:rPr>
        <w:t xml:space="preserve">concluded that all bidders were qualified to provide </w:t>
      </w:r>
      <w:r w:rsidR="00D374EC">
        <w:rPr>
          <w:color w:val="000000"/>
        </w:rPr>
        <w:t>Energy</w:t>
      </w:r>
      <w:r w:rsidR="005F660D" w:rsidRPr="0098245F">
        <w:rPr>
          <w:color w:val="000000"/>
        </w:rPr>
        <w:t xml:space="preserve"> Service and would be capable of providing any required contract security.</w:t>
      </w:r>
      <w:r w:rsidR="00626917">
        <w:rPr>
          <w:b/>
          <w:color w:val="000000"/>
        </w:rPr>
        <w:br w:type="page"/>
      </w:r>
    </w:p>
    <w:p w14:paraId="32D2CEEC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lastRenderedPageBreak/>
        <w:t>Final Bids</w:t>
      </w:r>
    </w:p>
    <w:p w14:paraId="5C59088D" w14:textId="77777777" w:rsidR="00424BDA" w:rsidRPr="0098245F" w:rsidRDefault="00424BDA" w:rsidP="00424BDA">
      <w:pPr>
        <w:rPr>
          <w:color w:val="000000"/>
        </w:rPr>
      </w:pPr>
    </w:p>
    <w:p w14:paraId="5EA9FABD" w14:textId="0B5CA151" w:rsidR="00364E4F" w:rsidRDefault="005F660D" w:rsidP="00AD305C">
      <w:pPr>
        <w:ind w:firstLine="360"/>
        <w:rPr>
          <w:color w:val="000000"/>
        </w:rPr>
      </w:pPr>
      <w:r w:rsidRPr="0098245F">
        <w:rPr>
          <w:color w:val="000000"/>
        </w:rPr>
        <w:t xml:space="preserve">Final bids were received on </w:t>
      </w:r>
      <w:r w:rsidR="00C171DB">
        <w:rPr>
          <w:color w:val="000000"/>
        </w:rPr>
        <w:t>December</w:t>
      </w:r>
      <w:r w:rsidR="00383745">
        <w:rPr>
          <w:color w:val="000000"/>
        </w:rPr>
        <w:t xml:space="preserve"> </w:t>
      </w:r>
      <w:r w:rsidR="00091616">
        <w:rPr>
          <w:color w:val="000000"/>
        </w:rPr>
        <w:t>1</w:t>
      </w:r>
      <w:r w:rsidR="00C171DB">
        <w:rPr>
          <w:color w:val="000000"/>
        </w:rPr>
        <w:t>7</w:t>
      </w:r>
      <w:r w:rsidR="00383745">
        <w:rPr>
          <w:color w:val="000000"/>
        </w:rPr>
        <w:t>, 202</w:t>
      </w:r>
      <w:r w:rsidR="00091616">
        <w:rPr>
          <w:color w:val="000000"/>
        </w:rPr>
        <w:t>4</w:t>
      </w:r>
      <w:r w:rsidR="006E390C">
        <w:rPr>
          <w:color w:val="000000"/>
        </w:rPr>
        <w:t>,</w:t>
      </w:r>
      <w:r w:rsidR="009B6A3F">
        <w:rPr>
          <w:color w:val="000000"/>
        </w:rPr>
        <w:t xml:space="preserve"> </w:t>
      </w:r>
      <w:r w:rsidR="002338C7">
        <w:rPr>
          <w:color w:val="000000"/>
        </w:rPr>
        <w:t xml:space="preserve">from </w:t>
      </w:r>
      <w:r w:rsidR="003D02EA">
        <w:rPr>
          <w:b/>
          <w:color w:val="000000"/>
          <w:highlight w:val="lightGray"/>
        </w:rPr>
        <w:t>three</w:t>
      </w:r>
      <w:r w:rsidR="00754037">
        <w:rPr>
          <w:color w:val="000000"/>
        </w:rPr>
        <w:t xml:space="preserve"> bidders for the small customer group</w:t>
      </w:r>
      <w:r w:rsidRPr="0098245F">
        <w:rPr>
          <w:color w:val="000000"/>
        </w:rPr>
        <w:t xml:space="preserve">.  The final bids were evaluated and ranked (see </w:t>
      </w:r>
      <w:r w:rsidR="005C2901" w:rsidRPr="0098245F">
        <w:rPr>
          <w:color w:val="000000"/>
        </w:rPr>
        <w:t>Exhibit</w:t>
      </w:r>
      <w:r w:rsidRPr="0098245F">
        <w:rPr>
          <w:color w:val="000000"/>
        </w:rPr>
        <w:t>s 5 and 6)</w:t>
      </w:r>
      <w:r w:rsidR="00735DD5" w:rsidRPr="0098245F">
        <w:rPr>
          <w:color w:val="000000"/>
        </w:rPr>
        <w:t>.</w:t>
      </w:r>
      <w:r w:rsidR="00F26D8F" w:rsidRPr="0098245F">
        <w:rPr>
          <w:color w:val="000000"/>
        </w:rPr>
        <w:t xml:space="preserve">  </w:t>
      </w:r>
      <w:r w:rsidR="00AD305C" w:rsidRPr="0098245F">
        <w:rPr>
          <w:color w:val="000000"/>
        </w:rPr>
        <w:t>The</w:t>
      </w:r>
      <w:r w:rsidR="00364E4F" w:rsidRPr="0098245F">
        <w:rPr>
          <w:color w:val="000000"/>
        </w:rPr>
        <w:t xml:space="preserve"> retail prices in </w:t>
      </w:r>
      <w:r w:rsidR="005C2901" w:rsidRPr="0098245F">
        <w:rPr>
          <w:color w:val="000000"/>
        </w:rPr>
        <w:t>Exhibit</w:t>
      </w:r>
      <w:r w:rsidR="00364E4F" w:rsidRPr="0098245F">
        <w:rPr>
          <w:color w:val="000000"/>
        </w:rPr>
        <w:t xml:space="preserve"> 6 were calculated by adjusting the wholesale prices in </w:t>
      </w:r>
      <w:r w:rsidR="005C2901" w:rsidRPr="0098245F">
        <w:rPr>
          <w:color w:val="000000"/>
        </w:rPr>
        <w:t>Exhibit</w:t>
      </w:r>
      <w:r w:rsidR="00364E4F" w:rsidRPr="0098245F">
        <w:rPr>
          <w:color w:val="000000"/>
        </w:rPr>
        <w:t xml:space="preserve"> 5 by the ratio of wholesale purchases to retail deliveries.</w:t>
      </w:r>
    </w:p>
    <w:p w14:paraId="3A05059E" w14:textId="77777777" w:rsidR="00F523A9" w:rsidRPr="0098245F" w:rsidRDefault="00F523A9" w:rsidP="00AD305C">
      <w:pPr>
        <w:ind w:firstLine="360"/>
        <w:rPr>
          <w:color w:val="000000"/>
        </w:rPr>
      </w:pPr>
    </w:p>
    <w:p w14:paraId="6DB559E2" w14:textId="77777777" w:rsidR="00DF1C74" w:rsidRDefault="005F660D" w:rsidP="005C79BC">
      <w:pPr>
        <w:ind w:firstLine="360"/>
        <w:rPr>
          <w:color w:val="000000"/>
        </w:rPr>
      </w:pPr>
      <w:r w:rsidRPr="00936CED">
        <w:rPr>
          <w:color w:val="000000"/>
        </w:rPr>
        <w:t>A summary of the number of conforming bids per block is provided in the following table</w:t>
      </w:r>
      <w:r w:rsidRPr="0098245F">
        <w:rPr>
          <w:color w:val="000000"/>
        </w:rPr>
        <w:t>:</w:t>
      </w:r>
    </w:p>
    <w:p w14:paraId="61462AFC" w14:textId="77777777" w:rsidR="00DD1650" w:rsidRDefault="00DD1650" w:rsidP="005C79BC">
      <w:pPr>
        <w:ind w:firstLine="360"/>
        <w:rPr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1710"/>
      </w:tblGrid>
      <w:tr w:rsidR="00B117D7" w14:paraId="17D4659F" w14:textId="77777777" w:rsidTr="00B117D7">
        <w:trPr>
          <w:jc w:val="center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EBF75D" w14:textId="77777777" w:rsidR="00B117D7" w:rsidRPr="00DD1650" w:rsidRDefault="00B117D7" w:rsidP="007F2565">
            <w:pPr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 w:rsidRPr="00DD1650">
              <w:rPr>
                <w:b/>
                <w:color w:val="000000"/>
              </w:rPr>
              <w:t>Customer Group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7D8142" w14:textId="77777777" w:rsidR="00B117D7" w:rsidRPr="00DD1650" w:rsidRDefault="00B117D7" w:rsidP="007F2565">
            <w:pPr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 w:rsidRPr="00DD1650">
              <w:rPr>
                <w:b/>
                <w:color w:val="000000"/>
              </w:rPr>
              <w:t>Block - # Bids</w:t>
            </w:r>
          </w:p>
        </w:tc>
      </w:tr>
      <w:tr w:rsidR="00C171DB" w14:paraId="26E419B8" w14:textId="77777777" w:rsidTr="00711DFC">
        <w:trPr>
          <w:jc w:val="center"/>
        </w:trPr>
        <w:tc>
          <w:tcPr>
            <w:tcW w:w="2448" w:type="dxa"/>
          </w:tcPr>
          <w:p w14:paraId="4A4B316B" w14:textId="147BC86D" w:rsidR="00C171DB" w:rsidRPr="003E3097" w:rsidRDefault="00C171DB" w:rsidP="007F2565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3E3097">
              <w:rPr>
                <w:color w:val="000000"/>
              </w:rPr>
              <w:t>Small</w:t>
            </w:r>
          </w:p>
        </w:tc>
        <w:tc>
          <w:tcPr>
            <w:tcW w:w="1710" w:type="dxa"/>
          </w:tcPr>
          <w:p w14:paraId="41B3B99A" w14:textId="2A7393B1" w:rsidR="00C171DB" w:rsidRPr="0092371C" w:rsidRDefault="00C171DB" w:rsidP="007F0C13">
            <w:pPr>
              <w:tabs>
                <w:tab w:val="left" w:pos="1800"/>
              </w:tabs>
              <w:jc w:val="center"/>
              <w:rPr>
                <w:b/>
                <w:color w:val="000000"/>
                <w:highlight w:val="lightGray"/>
              </w:rPr>
            </w:pPr>
            <w:r w:rsidRPr="00EB2123">
              <w:rPr>
                <w:b/>
                <w:color w:val="000000"/>
              </w:rPr>
              <w:t>C –</w:t>
            </w:r>
            <w:r w:rsidRPr="0092371C">
              <w:rPr>
                <w:b/>
                <w:color w:val="000000"/>
                <w:highlight w:val="lightGray"/>
              </w:rPr>
              <w:t xml:space="preserve"> </w:t>
            </w:r>
            <w:r w:rsidR="003D02EA">
              <w:rPr>
                <w:b/>
                <w:color w:val="000000"/>
                <w:highlight w:val="lightGray"/>
              </w:rPr>
              <w:t>three</w:t>
            </w:r>
          </w:p>
        </w:tc>
      </w:tr>
    </w:tbl>
    <w:p w14:paraId="0C7A5334" w14:textId="77777777" w:rsidR="00424BDA" w:rsidRPr="00DD1650" w:rsidRDefault="00424BDA" w:rsidP="00424BDA">
      <w:pPr>
        <w:rPr>
          <w:b/>
          <w:color w:val="000000"/>
        </w:rPr>
      </w:pPr>
    </w:p>
    <w:p w14:paraId="4BD69F4C" w14:textId="77777777" w:rsidR="00424BDA" w:rsidRPr="0098245F" w:rsidRDefault="00424BDA" w:rsidP="00424BDA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t>Analysis and Award</w:t>
      </w:r>
    </w:p>
    <w:p w14:paraId="03AA034D" w14:textId="77777777" w:rsidR="00424BDA" w:rsidRPr="0098245F" w:rsidRDefault="00424BDA" w:rsidP="00424BDA">
      <w:pPr>
        <w:rPr>
          <w:color w:val="000000"/>
        </w:rPr>
      </w:pPr>
    </w:p>
    <w:p w14:paraId="2C4D4889" w14:textId="43B3B5FF" w:rsidR="005F660D" w:rsidRPr="0098245F" w:rsidRDefault="00272C39" w:rsidP="005C79BC">
      <w:pPr>
        <w:ind w:firstLine="360"/>
        <w:rPr>
          <w:color w:val="000000"/>
        </w:rPr>
      </w:pPr>
      <w:r>
        <w:rPr>
          <w:color w:val="000000"/>
        </w:rPr>
        <w:t>T</w:t>
      </w:r>
      <w:r w:rsidR="002338C7">
        <w:rPr>
          <w:color w:val="000000"/>
        </w:rPr>
        <w:t>he lowest final bid</w:t>
      </w:r>
      <w:r w:rsidR="00F2273B">
        <w:rPr>
          <w:color w:val="000000"/>
        </w:rPr>
        <w:t>s</w:t>
      </w:r>
      <w:r w:rsidR="005F660D" w:rsidRPr="0098245F">
        <w:rPr>
          <w:color w:val="000000"/>
        </w:rPr>
        <w:t xml:space="preserve"> </w:t>
      </w:r>
      <w:r w:rsidR="002338C7">
        <w:rPr>
          <w:color w:val="000000"/>
        </w:rPr>
        <w:t>w</w:t>
      </w:r>
      <w:r w:rsidR="00F2273B">
        <w:rPr>
          <w:color w:val="000000"/>
        </w:rPr>
        <w:t>ere</w:t>
      </w:r>
      <w:r w:rsidR="005F660D" w:rsidRPr="0098245F">
        <w:rPr>
          <w:color w:val="000000"/>
        </w:rPr>
        <w:t xml:space="preserve"> compared to </w:t>
      </w:r>
      <w:r w:rsidR="005820D9">
        <w:rPr>
          <w:color w:val="000000"/>
        </w:rPr>
        <w:t>Liberty</w:t>
      </w:r>
      <w:r w:rsidR="00100286">
        <w:rPr>
          <w:color w:val="000000"/>
        </w:rPr>
        <w:t>’s</w:t>
      </w:r>
      <w:r w:rsidR="005F660D" w:rsidRPr="0098245F">
        <w:rPr>
          <w:color w:val="000000"/>
        </w:rPr>
        <w:t xml:space="preserve"> expected </w:t>
      </w:r>
      <w:r w:rsidR="002338C7">
        <w:rPr>
          <w:color w:val="000000"/>
        </w:rPr>
        <w:t>bid</w:t>
      </w:r>
      <w:r w:rsidR="00F2273B">
        <w:rPr>
          <w:color w:val="000000"/>
        </w:rPr>
        <w:t>s</w:t>
      </w:r>
      <w:r w:rsidR="008C506E">
        <w:rPr>
          <w:color w:val="000000"/>
        </w:rPr>
        <w:t>.</w:t>
      </w:r>
      <w:r w:rsidR="005F660D" w:rsidRPr="0098245F">
        <w:rPr>
          <w:color w:val="000000"/>
        </w:rPr>
        <w:t xml:space="preserve">  The calculations of these expected prices </w:t>
      </w:r>
      <w:r w:rsidR="000E0A47">
        <w:rPr>
          <w:color w:val="000000"/>
        </w:rPr>
        <w:t>are</w:t>
      </w:r>
      <w:r w:rsidR="005F660D" w:rsidRPr="0098245F">
        <w:rPr>
          <w:color w:val="000000"/>
        </w:rPr>
        <w:t xml:space="preserve"> found in </w:t>
      </w:r>
      <w:r w:rsidR="005C2901" w:rsidRPr="005E3756">
        <w:rPr>
          <w:color w:val="000000"/>
        </w:rPr>
        <w:t>Exhibit</w:t>
      </w:r>
      <w:r>
        <w:rPr>
          <w:color w:val="000000"/>
        </w:rPr>
        <w:t xml:space="preserve"> </w:t>
      </w:r>
      <w:r w:rsidR="003B29B8">
        <w:rPr>
          <w:color w:val="000000"/>
        </w:rPr>
        <w:t>7</w:t>
      </w:r>
      <w:r w:rsidR="005F660D" w:rsidRPr="0098245F">
        <w:rPr>
          <w:color w:val="000000"/>
        </w:rPr>
        <w:t xml:space="preserve">.  </w:t>
      </w:r>
    </w:p>
    <w:p w14:paraId="2BE48603" w14:textId="77777777" w:rsidR="005F660D" w:rsidRPr="0098245F" w:rsidRDefault="005F660D" w:rsidP="005F660D">
      <w:pPr>
        <w:rPr>
          <w:color w:val="000000"/>
        </w:rPr>
      </w:pPr>
    </w:p>
    <w:p w14:paraId="78F5FD8C" w14:textId="5A38FACF" w:rsidR="005F660D" w:rsidRPr="0098245F" w:rsidRDefault="002338C7" w:rsidP="005C79BC">
      <w:pPr>
        <w:ind w:firstLine="360"/>
        <w:rPr>
          <w:color w:val="000000"/>
        </w:rPr>
      </w:pPr>
      <w:r w:rsidRPr="00936CED">
        <w:rPr>
          <w:color w:val="000000"/>
        </w:rPr>
        <w:t>The</w:t>
      </w:r>
      <w:r w:rsidR="005F660D" w:rsidRPr="00936CED">
        <w:rPr>
          <w:color w:val="000000"/>
        </w:rPr>
        <w:t xml:space="preserve"> </w:t>
      </w:r>
      <w:r w:rsidR="007E3899" w:rsidRPr="00936CED">
        <w:rPr>
          <w:color w:val="000000"/>
        </w:rPr>
        <w:t>winning bid</w:t>
      </w:r>
      <w:r w:rsidR="00FA693D" w:rsidRPr="00936CED">
        <w:rPr>
          <w:color w:val="000000"/>
        </w:rPr>
        <w:t>s</w:t>
      </w:r>
      <w:r w:rsidR="005F660D" w:rsidRPr="00936CED">
        <w:rPr>
          <w:color w:val="000000"/>
        </w:rPr>
        <w:t xml:space="preserve"> </w:t>
      </w:r>
      <w:r w:rsidR="0005004B" w:rsidRPr="00936CED">
        <w:rPr>
          <w:color w:val="000000"/>
        </w:rPr>
        <w:t xml:space="preserve">for </w:t>
      </w:r>
      <w:r w:rsidR="00754037" w:rsidRPr="00936CED">
        <w:rPr>
          <w:color w:val="000000"/>
        </w:rPr>
        <w:t xml:space="preserve">each of the customer </w:t>
      </w:r>
      <w:r w:rsidR="00317AD9">
        <w:rPr>
          <w:color w:val="000000"/>
        </w:rPr>
        <w:t>groups</w:t>
      </w:r>
      <w:r w:rsidR="00754037" w:rsidRPr="00936CED">
        <w:rPr>
          <w:color w:val="000000"/>
        </w:rPr>
        <w:t xml:space="preserve"> came in</w:t>
      </w:r>
      <w:r w:rsidR="00317AD9">
        <w:rPr>
          <w:color w:val="000000"/>
        </w:rPr>
        <w:t xml:space="preserve"> either</w:t>
      </w:r>
      <w:r w:rsidR="00754037" w:rsidRPr="00936CED">
        <w:rPr>
          <w:color w:val="000000"/>
        </w:rPr>
        <w:t xml:space="preserve"> below </w:t>
      </w:r>
      <w:r w:rsidR="00317AD9">
        <w:rPr>
          <w:color w:val="000000"/>
        </w:rPr>
        <w:t xml:space="preserve">or very close to the </w:t>
      </w:r>
      <w:r w:rsidR="00754037" w:rsidRPr="00936CED">
        <w:rPr>
          <w:color w:val="000000"/>
        </w:rPr>
        <w:t>Company</w:t>
      </w:r>
      <w:r w:rsidR="00317AD9">
        <w:rPr>
          <w:color w:val="000000"/>
        </w:rPr>
        <w:t>’s</w:t>
      </w:r>
      <w:r w:rsidR="00754037" w:rsidRPr="00936CED">
        <w:rPr>
          <w:color w:val="000000"/>
        </w:rPr>
        <w:t xml:space="preserve"> forecast and</w:t>
      </w:r>
      <w:r w:rsidR="00317AD9">
        <w:rPr>
          <w:color w:val="000000"/>
        </w:rPr>
        <w:t xml:space="preserve"> below </w:t>
      </w:r>
      <w:r w:rsidR="00754037" w:rsidRPr="00936CED">
        <w:rPr>
          <w:color w:val="000000"/>
        </w:rPr>
        <w:t xml:space="preserve">the other </w:t>
      </w:r>
      <w:proofErr w:type="gramStart"/>
      <w:r w:rsidR="00754037" w:rsidRPr="00936CED">
        <w:rPr>
          <w:color w:val="000000"/>
        </w:rPr>
        <w:t>suppliers</w:t>
      </w:r>
      <w:proofErr w:type="gramEnd"/>
      <w:r w:rsidR="00754037" w:rsidRPr="00936CED">
        <w:rPr>
          <w:color w:val="000000"/>
        </w:rPr>
        <w:t xml:space="preserve"> bids. </w:t>
      </w:r>
      <w:r w:rsidR="005F660D" w:rsidRPr="00936CED">
        <w:rPr>
          <w:color w:val="000000"/>
        </w:rPr>
        <w:t>As a result</w:t>
      </w:r>
      <w:r w:rsidR="007F3B03" w:rsidRPr="00936CED">
        <w:rPr>
          <w:color w:val="000000"/>
        </w:rPr>
        <w:t>,</w:t>
      </w:r>
      <w:r w:rsidR="005F660D" w:rsidRPr="00936CED">
        <w:rPr>
          <w:color w:val="000000"/>
        </w:rPr>
        <w:t xml:space="preserve"> the </w:t>
      </w:r>
      <w:r w:rsidRPr="00936CED">
        <w:rPr>
          <w:color w:val="000000"/>
        </w:rPr>
        <w:t>accepted bid</w:t>
      </w:r>
      <w:r w:rsidR="00F2273B" w:rsidRPr="00936CED">
        <w:rPr>
          <w:color w:val="000000"/>
        </w:rPr>
        <w:t>s</w:t>
      </w:r>
      <w:r w:rsidRPr="00936CED">
        <w:rPr>
          <w:color w:val="000000"/>
        </w:rPr>
        <w:t xml:space="preserve"> </w:t>
      </w:r>
      <w:r w:rsidR="00317AD9" w:rsidRPr="00936CED">
        <w:rPr>
          <w:color w:val="000000"/>
        </w:rPr>
        <w:t>are</w:t>
      </w:r>
      <w:r w:rsidR="005F660D" w:rsidRPr="00936CED">
        <w:rPr>
          <w:color w:val="000000"/>
        </w:rPr>
        <w:t xml:space="preserve"> </w:t>
      </w:r>
      <w:r w:rsidR="007F05C0" w:rsidRPr="00936CED">
        <w:rPr>
          <w:color w:val="000000"/>
        </w:rPr>
        <w:t>a reasonable representation of the market price for power supply</w:t>
      </w:r>
      <w:r w:rsidR="005F660D" w:rsidRPr="00936CED">
        <w:rPr>
          <w:color w:val="000000"/>
        </w:rPr>
        <w:t>.</w:t>
      </w:r>
    </w:p>
    <w:p w14:paraId="100CE99C" w14:textId="77777777" w:rsidR="005F660D" w:rsidRPr="0098245F" w:rsidRDefault="005F660D" w:rsidP="005F660D">
      <w:pPr>
        <w:rPr>
          <w:color w:val="000000"/>
        </w:rPr>
      </w:pPr>
    </w:p>
    <w:p w14:paraId="5A6AC1FD" w14:textId="77777777" w:rsidR="00DF1C74" w:rsidRPr="0098245F" w:rsidRDefault="005C2901" w:rsidP="005C79BC">
      <w:pPr>
        <w:ind w:firstLine="360"/>
        <w:rPr>
          <w:color w:val="000000"/>
        </w:rPr>
      </w:pPr>
      <w:r w:rsidRPr="003E3097">
        <w:rPr>
          <w:color w:val="000000"/>
        </w:rPr>
        <w:t>Exhibit</w:t>
      </w:r>
      <w:r w:rsidR="005F660D" w:rsidRPr="003E3097">
        <w:rPr>
          <w:color w:val="000000"/>
        </w:rPr>
        <w:t xml:space="preserve"> </w:t>
      </w:r>
      <w:r w:rsidR="003B29B8" w:rsidRPr="003E3097">
        <w:rPr>
          <w:color w:val="000000"/>
        </w:rPr>
        <w:t>8</w:t>
      </w:r>
      <w:r w:rsidR="005F660D" w:rsidRPr="0098245F">
        <w:rPr>
          <w:color w:val="000000"/>
        </w:rPr>
        <w:t xml:space="preserve"> provides a summary of the winning supplier</w:t>
      </w:r>
      <w:r w:rsidR="00F2273B">
        <w:rPr>
          <w:color w:val="000000"/>
        </w:rPr>
        <w:t>s</w:t>
      </w:r>
      <w:r w:rsidR="005F660D" w:rsidRPr="0098245F">
        <w:rPr>
          <w:color w:val="000000"/>
        </w:rPr>
        <w:t xml:space="preserve"> </w:t>
      </w:r>
      <w:r w:rsidR="00332824">
        <w:rPr>
          <w:color w:val="000000"/>
        </w:rPr>
        <w:t>and</w:t>
      </w:r>
      <w:r w:rsidR="005F660D" w:rsidRPr="0098245F">
        <w:rPr>
          <w:color w:val="000000"/>
        </w:rPr>
        <w:t xml:space="preserve"> the basis for the award. </w:t>
      </w:r>
      <w:r w:rsidR="00F523A9">
        <w:rPr>
          <w:color w:val="000000"/>
        </w:rPr>
        <w:t xml:space="preserve"> </w:t>
      </w:r>
      <w:r w:rsidRPr="0098245F">
        <w:rPr>
          <w:color w:val="000000"/>
        </w:rPr>
        <w:t>Exhibit</w:t>
      </w:r>
      <w:r w:rsidR="005F660D" w:rsidRPr="0098245F">
        <w:rPr>
          <w:color w:val="000000"/>
        </w:rPr>
        <w:t xml:space="preserve"> </w:t>
      </w:r>
      <w:r w:rsidR="003B29B8">
        <w:rPr>
          <w:color w:val="000000"/>
        </w:rPr>
        <w:t>9</w:t>
      </w:r>
      <w:r w:rsidR="005F660D" w:rsidRPr="0098245F">
        <w:rPr>
          <w:color w:val="000000"/>
        </w:rPr>
        <w:t xml:space="preserve"> provides a bidder key to help identify bidders.  </w:t>
      </w:r>
    </w:p>
    <w:p w14:paraId="4CA0E937" w14:textId="77777777" w:rsidR="00DC3919" w:rsidRPr="0098245F" w:rsidRDefault="00DC3919" w:rsidP="005F660D">
      <w:pPr>
        <w:rPr>
          <w:color w:val="000000"/>
        </w:rPr>
      </w:pPr>
    </w:p>
    <w:p w14:paraId="541FC8CF" w14:textId="77777777" w:rsidR="005F660D" w:rsidRPr="0098245F" w:rsidRDefault="005F660D" w:rsidP="005F660D">
      <w:pPr>
        <w:numPr>
          <w:ilvl w:val="0"/>
          <w:numId w:val="1"/>
        </w:numPr>
        <w:rPr>
          <w:b/>
          <w:color w:val="000000"/>
        </w:rPr>
      </w:pPr>
      <w:r w:rsidRPr="0098245F">
        <w:rPr>
          <w:b/>
          <w:color w:val="000000"/>
        </w:rPr>
        <w:t xml:space="preserve">New Hampshire </w:t>
      </w:r>
      <w:r w:rsidR="00952E36" w:rsidRPr="0098245F">
        <w:rPr>
          <w:b/>
          <w:color w:val="000000"/>
        </w:rPr>
        <w:t xml:space="preserve">Electric </w:t>
      </w:r>
      <w:r w:rsidRPr="0098245F">
        <w:rPr>
          <w:b/>
          <w:color w:val="000000"/>
        </w:rPr>
        <w:t>Renewable Energy Portfolio Standard</w:t>
      </w:r>
    </w:p>
    <w:p w14:paraId="62678144" w14:textId="77777777" w:rsidR="005F660D" w:rsidRPr="0098245F" w:rsidRDefault="005F660D" w:rsidP="005F660D">
      <w:pPr>
        <w:rPr>
          <w:b/>
          <w:color w:val="000000"/>
        </w:rPr>
      </w:pPr>
    </w:p>
    <w:p w14:paraId="37D70643" w14:textId="77777777" w:rsidR="005F660D" w:rsidRPr="0098245F" w:rsidRDefault="005F660D" w:rsidP="005C79BC">
      <w:pPr>
        <w:ind w:firstLine="360"/>
        <w:rPr>
          <w:color w:val="000000"/>
        </w:rPr>
      </w:pPr>
      <w:r w:rsidRPr="0098245F">
        <w:rPr>
          <w:color w:val="000000"/>
        </w:rPr>
        <w:t xml:space="preserve">The load covered by this RFP is subject </w:t>
      </w:r>
      <w:r w:rsidR="00814CB4" w:rsidRPr="0098245F">
        <w:rPr>
          <w:color w:val="000000"/>
        </w:rPr>
        <w:t xml:space="preserve">to </w:t>
      </w:r>
      <w:r w:rsidRPr="0098245F">
        <w:rPr>
          <w:color w:val="000000"/>
        </w:rPr>
        <w:t>the following Renewable Portfolio Standard (“RPS”) requirement</w:t>
      </w:r>
      <w:r w:rsidR="006E390C">
        <w:rPr>
          <w:color w:val="000000"/>
        </w:rPr>
        <w:t>s</w:t>
      </w:r>
      <w:r w:rsidRPr="0098245F">
        <w:rPr>
          <w:color w:val="000000"/>
        </w:rPr>
        <w:t xml:space="preserve">:  </w:t>
      </w:r>
    </w:p>
    <w:p w14:paraId="4F181C25" w14:textId="77777777" w:rsidR="0093406E" w:rsidRPr="0098245F" w:rsidRDefault="0093406E" w:rsidP="005F660D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642"/>
        <w:gridCol w:w="1642"/>
      </w:tblGrid>
      <w:tr w:rsidR="00383745" w:rsidRPr="0098245F" w14:paraId="747F0D93" w14:textId="7A988A53" w:rsidTr="00E52686">
        <w:trPr>
          <w:trHeight w:val="544"/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FC8F2E" w14:textId="77777777" w:rsidR="00383745" w:rsidRPr="00A9078F" w:rsidRDefault="00383745" w:rsidP="00383745">
            <w:pPr>
              <w:jc w:val="center"/>
              <w:rPr>
                <w:b/>
                <w:color w:val="000000"/>
              </w:rPr>
            </w:pPr>
            <w:r w:rsidRPr="00A9078F">
              <w:rPr>
                <w:b/>
                <w:color w:val="000000"/>
              </w:rPr>
              <w:t>NH-RPS Classes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5D3EA" w14:textId="77777777" w:rsidR="00383745" w:rsidRDefault="00383745" w:rsidP="00383745">
            <w:pPr>
              <w:jc w:val="center"/>
              <w:rPr>
                <w:b/>
              </w:rPr>
            </w:pPr>
          </w:p>
          <w:p w14:paraId="6869983D" w14:textId="3D02092E" w:rsidR="00383745" w:rsidRDefault="00383745" w:rsidP="0038374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02C28">
              <w:rPr>
                <w:b/>
              </w:rPr>
              <w:t>4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92C97" w14:textId="1DE4AA65" w:rsidR="00383745" w:rsidRDefault="00383745" w:rsidP="00383745">
            <w:pPr>
              <w:jc w:val="center"/>
              <w:rPr>
                <w:b/>
              </w:rPr>
            </w:pPr>
          </w:p>
          <w:p w14:paraId="48FF8697" w14:textId="7CDFD3FB" w:rsidR="00383745" w:rsidRDefault="00383745" w:rsidP="00383745">
            <w:pPr>
              <w:jc w:val="center"/>
            </w:pPr>
            <w:r>
              <w:rPr>
                <w:b/>
              </w:rPr>
              <w:t>202</w:t>
            </w:r>
            <w:r w:rsidR="00502C28">
              <w:rPr>
                <w:b/>
              </w:rPr>
              <w:t>5</w:t>
            </w:r>
          </w:p>
        </w:tc>
      </w:tr>
      <w:tr w:rsidR="00A824CA" w:rsidRPr="0098245F" w14:paraId="29D81A70" w14:textId="0DDB3330" w:rsidTr="00E52686">
        <w:trPr>
          <w:trHeight w:val="272"/>
          <w:jc w:val="center"/>
        </w:trPr>
        <w:tc>
          <w:tcPr>
            <w:tcW w:w="2267" w:type="dxa"/>
            <w:tcBorders>
              <w:top w:val="single" w:sz="12" w:space="0" w:color="auto"/>
            </w:tcBorders>
            <w:shd w:val="clear" w:color="auto" w:fill="auto"/>
          </w:tcPr>
          <w:p w14:paraId="4938BE5B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 xml:space="preserve">RPS Class I 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14:paraId="13702F87" w14:textId="33AD059D" w:rsidR="00A824CA" w:rsidRDefault="00A824CA" w:rsidP="00A824CA">
            <w:pPr>
              <w:jc w:val="center"/>
            </w:pPr>
            <w:r w:rsidRPr="003A6EF7">
              <w:t>11.</w:t>
            </w:r>
            <w:r w:rsidR="00502C28">
              <w:t>9</w:t>
            </w:r>
            <w:r w:rsidRPr="003A6EF7">
              <w:t>%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14:paraId="2D47743B" w14:textId="533DED3E" w:rsidR="00A824CA" w:rsidRDefault="00A824CA" w:rsidP="00A824CA">
            <w:pPr>
              <w:jc w:val="center"/>
            </w:pPr>
            <w:r>
              <w:t>1</w:t>
            </w:r>
            <w:r w:rsidR="00502C28">
              <w:t>2.8</w:t>
            </w:r>
            <w:r w:rsidRPr="004E093C">
              <w:t>%</w:t>
            </w:r>
          </w:p>
        </w:tc>
      </w:tr>
      <w:tr w:rsidR="00A824CA" w:rsidRPr="0098245F" w14:paraId="2EC64B95" w14:textId="2942D354" w:rsidTr="00E52686">
        <w:trPr>
          <w:trHeight w:val="272"/>
          <w:jc w:val="center"/>
        </w:trPr>
        <w:tc>
          <w:tcPr>
            <w:tcW w:w="2267" w:type="dxa"/>
            <w:shd w:val="clear" w:color="auto" w:fill="auto"/>
          </w:tcPr>
          <w:p w14:paraId="627AFD5F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>RPS Class I Thermal</w:t>
            </w:r>
          </w:p>
        </w:tc>
        <w:tc>
          <w:tcPr>
            <w:tcW w:w="1642" w:type="dxa"/>
          </w:tcPr>
          <w:p w14:paraId="0443AE2D" w14:textId="659A76E1" w:rsidR="00A824CA" w:rsidRDefault="00A824CA" w:rsidP="00A824CA">
            <w:pPr>
              <w:jc w:val="center"/>
            </w:pPr>
            <w:r w:rsidRPr="003A6EF7">
              <w:t>2.2%</w:t>
            </w:r>
          </w:p>
        </w:tc>
        <w:tc>
          <w:tcPr>
            <w:tcW w:w="1642" w:type="dxa"/>
          </w:tcPr>
          <w:p w14:paraId="03B1F378" w14:textId="45234FE9" w:rsidR="00A824CA" w:rsidRDefault="00A824CA" w:rsidP="00A824CA">
            <w:pPr>
              <w:jc w:val="center"/>
            </w:pPr>
            <w:r>
              <w:t>2.2</w:t>
            </w:r>
            <w:r w:rsidRPr="004E093C">
              <w:t>%</w:t>
            </w:r>
          </w:p>
        </w:tc>
      </w:tr>
      <w:tr w:rsidR="00A824CA" w:rsidRPr="0098245F" w14:paraId="31F2CC3E" w14:textId="5CD5EDAD" w:rsidTr="00E52686">
        <w:trPr>
          <w:trHeight w:val="272"/>
          <w:jc w:val="center"/>
        </w:trPr>
        <w:tc>
          <w:tcPr>
            <w:tcW w:w="2267" w:type="dxa"/>
            <w:shd w:val="clear" w:color="auto" w:fill="auto"/>
          </w:tcPr>
          <w:p w14:paraId="084E6CE6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>RPS Class II</w:t>
            </w:r>
          </w:p>
        </w:tc>
        <w:tc>
          <w:tcPr>
            <w:tcW w:w="1642" w:type="dxa"/>
          </w:tcPr>
          <w:p w14:paraId="77319499" w14:textId="42568021" w:rsidR="00A824CA" w:rsidRDefault="00A824CA" w:rsidP="00A824CA">
            <w:pPr>
              <w:jc w:val="center"/>
            </w:pPr>
            <w:r w:rsidRPr="003A6EF7">
              <w:t>0.7%</w:t>
            </w:r>
          </w:p>
        </w:tc>
        <w:tc>
          <w:tcPr>
            <w:tcW w:w="1642" w:type="dxa"/>
          </w:tcPr>
          <w:p w14:paraId="160BF0B3" w14:textId="5E279B82" w:rsidR="00A824CA" w:rsidRDefault="00A824CA" w:rsidP="00A824CA">
            <w:pPr>
              <w:jc w:val="center"/>
            </w:pPr>
            <w:r w:rsidRPr="004E093C">
              <w:t>0.7%</w:t>
            </w:r>
          </w:p>
        </w:tc>
      </w:tr>
      <w:tr w:rsidR="00A824CA" w:rsidRPr="0098245F" w14:paraId="283C4908" w14:textId="631DB740" w:rsidTr="00E52686">
        <w:trPr>
          <w:trHeight w:val="272"/>
          <w:jc w:val="center"/>
        </w:trPr>
        <w:tc>
          <w:tcPr>
            <w:tcW w:w="2267" w:type="dxa"/>
            <w:shd w:val="clear" w:color="auto" w:fill="auto"/>
          </w:tcPr>
          <w:p w14:paraId="4A9235DF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>RPS Class III</w:t>
            </w:r>
          </w:p>
        </w:tc>
        <w:tc>
          <w:tcPr>
            <w:tcW w:w="1642" w:type="dxa"/>
          </w:tcPr>
          <w:p w14:paraId="6527A557" w14:textId="79323B98" w:rsidR="00A824CA" w:rsidRPr="002D09CA" w:rsidRDefault="00502C28" w:rsidP="00A824CA">
            <w:pPr>
              <w:jc w:val="center"/>
            </w:pPr>
            <w:r>
              <w:t>8.0</w:t>
            </w:r>
            <w:r w:rsidR="00A824CA" w:rsidRPr="003A6EF7">
              <w:t>%</w:t>
            </w:r>
          </w:p>
        </w:tc>
        <w:tc>
          <w:tcPr>
            <w:tcW w:w="1642" w:type="dxa"/>
          </w:tcPr>
          <w:p w14:paraId="060C033F" w14:textId="16C23A80" w:rsidR="00A824CA" w:rsidRPr="002D09CA" w:rsidRDefault="00A824CA" w:rsidP="00A824CA">
            <w:pPr>
              <w:jc w:val="center"/>
            </w:pPr>
            <w:r w:rsidRPr="004E093C">
              <w:t>8.0%</w:t>
            </w:r>
          </w:p>
        </w:tc>
      </w:tr>
      <w:tr w:rsidR="00A824CA" w:rsidRPr="0098245F" w14:paraId="20B996CD" w14:textId="15E53812" w:rsidTr="00E52686">
        <w:trPr>
          <w:trHeight w:val="272"/>
          <w:jc w:val="center"/>
        </w:trPr>
        <w:tc>
          <w:tcPr>
            <w:tcW w:w="2267" w:type="dxa"/>
            <w:shd w:val="clear" w:color="auto" w:fill="auto"/>
          </w:tcPr>
          <w:p w14:paraId="2BCA7DF7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>RPS Class IV</w:t>
            </w:r>
          </w:p>
        </w:tc>
        <w:tc>
          <w:tcPr>
            <w:tcW w:w="1642" w:type="dxa"/>
          </w:tcPr>
          <w:p w14:paraId="1765485F" w14:textId="019EEBD5" w:rsidR="00A824CA" w:rsidRPr="002D09CA" w:rsidRDefault="00A824CA" w:rsidP="00A824CA">
            <w:pPr>
              <w:jc w:val="center"/>
            </w:pPr>
            <w:r w:rsidRPr="003A6EF7">
              <w:t>1.5%</w:t>
            </w:r>
          </w:p>
        </w:tc>
        <w:tc>
          <w:tcPr>
            <w:tcW w:w="1642" w:type="dxa"/>
          </w:tcPr>
          <w:p w14:paraId="15A4B626" w14:textId="3A8FCEB8" w:rsidR="00A824CA" w:rsidRPr="002D09CA" w:rsidRDefault="00A824CA" w:rsidP="00A824CA">
            <w:pPr>
              <w:jc w:val="center"/>
            </w:pPr>
            <w:r w:rsidRPr="004E093C">
              <w:t>1.5%</w:t>
            </w:r>
          </w:p>
        </w:tc>
      </w:tr>
      <w:tr w:rsidR="00A824CA" w:rsidRPr="0098245F" w14:paraId="02DDBF61" w14:textId="6AEC9EB4" w:rsidTr="00E52686">
        <w:trPr>
          <w:trHeight w:val="287"/>
          <w:jc w:val="center"/>
        </w:trPr>
        <w:tc>
          <w:tcPr>
            <w:tcW w:w="2267" w:type="dxa"/>
            <w:shd w:val="clear" w:color="auto" w:fill="auto"/>
          </w:tcPr>
          <w:p w14:paraId="0ADB0B38" w14:textId="77777777" w:rsidR="00A824CA" w:rsidRPr="0098245F" w:rsidRDefault="00A824CA" w:rsidP="00A824CA">
            <w:pPr>
              <w:rPr>
                <w:color w:val="000000"/>
              </w:rPr>
            </w:pPr>
            <w:r w:rsidRPr="0098245F">
              <w:rPr>
                <w:color w:val="000000"/>
              </w:rPr>
              <w:t>Total</w:t>
            </w:r>
          </w:p>
        </w:tc>
        <w:tc>
          <w:tcPr>
            <w:tcW w:w="1642" w:type="dxa"/>
          </w:tcPr>
          <w:p w14:paraId="54590615" w14:textId="02EF61E1" w:rsidR="00A824CA" w:rsidRDefault="00502C28" w:rsidP="00A824CA">
            <w:pPr>
              <w:jc w:val="center"/>
            </w:pPr>
            <w:r>
              <w:t>24</w:t>
            </w:r>
            <w:r w:rsidR="00A824CA" w:rsidRPr="003A6EF7">
              <w:t>.</w:t>
            </w:r>
            <w:r>
              <w:t>3</w:t>
            </w:r>
            <w:r w:rsidR="00A824CA" w:rsidRPr="003A6EF7">
              <w:t>%</w:t>
            </w:r>
          </w:p>
        </w:tc>
        <w:tc>
          <w:tcPr>
            <w:tcW w:w="1642" w:type="dxa"/>
          </w:tcPr>
          <w:p w14:paraId="1291437F" w14:textId="25FDA030" w:rsidR="00A824CA" w:rsidRDefault="00A824CA" w:rsidP="00A824CA">
            <w:pPr>
              <w:jc w:val="center"/>
            </w:pPr>
            <w:r>
              <w:t>2</w:t>
            </w:r>
            <w:r w:rsidR="00502C28">
              <w:t>5</w:t>
            </w:r>
            <w:r>
              <w:t>.</w:t>
            </w:r>
            <w:r w:rsidR="00502C28">
              <w:t>2</w:t>
            </w:r>
            <w:r w:rsidRPr="004E093C">
              <w:t>%</w:t>
            </w:r>
          </w:p>
        </w:tc>
      </w:tr>
    </w:tbl>
    <w:p w14:paraId="10039AEC" w14:textId="77777777" w:rsidR="005F660D" w:rsidRPr="0098245F" w:rsidRDefault="005F660D" w:rsidP="005F660D">
      <w:pPr>
        <w:rPr>
          <w:color w:val="000000"/>
        </w:rPr>
      </w:pPr>
    </w:p>
    <w:p w14:paraId="755B096E" w14:textId="5460A9D9" w:rsidR="008B2CBD" w:rsidRDefault="005820D9" w:rsidP="0092371C">
      <w:pPr>
        <w:ind w:firstLine="360"/>
        <w:rPr>
          <w:color w:val="000000"/>
        </w:rPr>
      </w:pPr>
      <w:r>
        <w:rPr>
          <w:color w:val="000000"/>
        </w:rPr>
        <w:t>Liberty</w:t>
      </w:r>
      <w:r w:rsidR="00F26D8F" w:rsidRPr="0098245F">
        <w:rPr>
          <w:color w:val="000000"/>
        </w:rPr>
        <w:t xml:space="preserve"> </w:t>
      </w:r>
      <w:r w:rsidR="00410996">
        <w:rPr>
          <w:color w:val="000000"/>
        </w:rPr>
        <w:t xml:space="preserve">also issued </w:t>
      </w:r>
      <w:r w:rsidR="00F15EF2">
        <w:rPr>
          <w:color w:val="000000"/>
        </w:rPr>
        <w:t xml:space="preserve">a </w:t>
      </w:r>
      <w:r w:rsidR="00F15EF2" w:rsidRPr="00F15EF2">
        <w:rPr>
          <w:color w:val="000000"/>
        </w:rPr>
        <w:t xml:space="preserve">Request for Proposals to Provide NEPOOL-GIS Certificates in Compliance </w:t>
      </w:r>
      <w:r w:rsidR="00FB7A7A" w:rsidRPr="00F15EF2">
        <w:rPr>
          <w:color w:val="000000"/>
        </w:rPr>
        <w:t>with</w:t>
      </w:r>
      <w:r w:rsidR="00F15EF2" w:rsidRPr="00F15EF2">
        <w:rPr>
          <w:color w:val="000000"/>
        </w:rPr>
        <w:t xml:space="preserve"> the New Hampshire Electric Renewable Portfolio Standards </w:t>
      </w:r>
      <w:r w:rsidR="0049782C">
        <w:rPr>
          <w:color w:val="000000"/>
        </w:rPr>
        <w:t xml:space="preserve">(“RECs”) </w:t>
      </w:r>
      <w:r w:rsidR="00410996">
        <w:rPr>
          <w:color w:val="000000"/>
        </w:rPr>
        <w:t xml:space="preserve">on </w:t>
      </w:r>
      <w:r w:rsidR="00C171DB">
        <w:rPr>
          <w:color w:val="000000"/>
        </w:rPr>
        <w:t>November</w:t>
      </w:r>
      <w:r w:rsidR="00383745">
        <w:rPr>
          <w:color w:val="000000"/>
        </w:rPr>
        <w:t xml:space="preserve"> </w:t>
      </w:r>
      <w:r w:rsidR="00D30B5E">
        <w:rPr>
          <w:color w:val="000000"/>
        </w:rPr>
        <w:t>1</w:t>
      </w:r>
      <w:r w:rsidR="00383745">
        <w:rPr>
          <w:color w:val="000000"/>
        </w:rPr>
        <w:t>, 202</w:t>
      </w:r>
      <w:r w:rsidR="00091616">
        <w:rPr>
          <w:color w:val="000000"/>
        </w:rPr>
        <w:t>4</w:t>
      </w:r>
      <w:r w:rsidR="00410996">
        <w:rPr>
          <w:color w:val="000000"/>
        </w:rPr>
        <w:t xml:space="preserve">.  </w:t>
      </w:r>
      <w:r w:rsidR="00B3147B" w:rsidRPr="00B3147B">
        <w:rPr>
          <w:color w:val="000000"/>
        </w:rPr>
        <w:t xml:space="preserve">Bids were received from </w:t>
      </w:r>
      <w:r w:rsidR="00FA2AD1">
        <w:rPr>
          <w:b/>
          <w:color w:val="000000"/>
          <w:highlight w:val="lightGray"/>
        </w:rPr>
        <w:t>fiv</w:t>
      </w:r>
      <w:r w:rsidR="00091616">
        <w:rPr>
          <w:b/>
          <w:color w:val="000000"/>
          <w:highlight w:val="lightGray"/>
        </w:rPr>
        <w:t>e</w:t>
      </w:r>
      <w:r w:rsidR="00C17A7C" w:rsidRPr="00B3147B">
        <w:rPr>
          <w:color w:val="000000"/>
        </w:rPr>
        <w:t xml:space="preserve"> </w:t>
      </w:r>
      <w:r w:rsidR="00B3147B" w:rsidRPr="00471E4F">
        <w:rPr>
          <w:color w:val="000000"/>
        </w:rPr>
        <w:t>bidder</w:t>
      </w:r>
      <w:r w:rsidR="00FA2AD1">
        <w:rPr>
          <w:color w:val="000000"/>
        </w:rPr>
        <w:t>(s)</w:t>
      </w:r>
      <w:r w:rsidR="00B3147B" w:rsidRPr="00471E4F">
        <w:rPr>
          <w:color w:val="000000"/>
        </w:rPr>
        <w:t xml:space="preserve"> on </w:t>
      </w:r>
      <w:r w:rsidR="00FA2AD1" w:rsidRPr="00FA2AD1">
        <w:rPr>
          <w:color w:val="000000"/>
        </w:rPr>
        <w:t>November</w:t>
      </w:r>
      <w:r w:rsidR="00383745" w:rsidRPr="00FA2AD1">
        <w:rPr>
          <w:color w:val="000000"/>
        </w:rPr>
        <w:t xml:space="preserve"> </w:t>
      </w:r>
      <w:r w:rsidR="00FA2AD1" w:rsidRPr="00FA2AD1">
        <w:rPr>
          <w:color w:val="000000"/>
        </w:rPr>
        <w:t>15</w:t>
      </w:r>
      <w:r w:rsidR="00383745" w:rsidRPr="00FA2AD1">
        <w:rPr>
          <w:color w:val="000000"/>
        </w:rPr>
        <w:t>, 202</w:t>
      </w:r>
      <w:r w:rsidR="002F3FCF" w:rsidRPr="00FA2AD1">
        <w:rPr>
          <w:color w:val="000000"/>
        </w:rPr>
        <w:t>4</w:t>
      </w:r>
      <w:r w:rsidR="00B3147B" w:rsidRPr="00471E4F">
        <w:rPr>
          <w:color w:val="000000"/>
        </w:rPr>
        <w:t>.</w:t>
      </w:r>
      <w:r w:rsidR="00B3147B" w:rsidRPr="00B3147B">
        <w:rPr>
          <w:color w:val="000000"/>
        </w:rPr>
        <w:t xml:space="preserve">  Exhibit </w:t>
      </w:r>
      <w:r w:rsidR="00B3147B" w:rsidRPr="00317AD9">
        <w:rPr>
          <w:color w:val="000000"/>
        </w:rPr>
        <w:t>10</w:t>
      </w:r>
      <w:r w:rsidR="00B3147B" w:rsidRPr="00B3147B">
        <w:rPr>
          <w:color w:val="000000"/>
        </w:rPr>
        <w:t xml:space="preserve"> provides an initial analysis of the REC bids received.  </w:t>
      </w:r>
      <w:r w:rsidR="00B3147B" w:rsidRPr="00471E4F">
        <w:rPr>
          <w:color w:val="000000"/>
        </w:rPr>
        <w:t xml:space="preserve">Exhibit </w:t>
      </w:r>
      <w:r w:rsidR="00B3147B" w:rsidRPr="00317AD9">
        <w:rPr>
          <w:color w:val="000000"/>
        </w:rPr>
        <w:t>11</w:t>
      </w:r>
      <w:r w:rsidR="00B3147B" w:rsidRPr="00471E4F">
        <w:rPr>
          <w:color w:val="000000"/>
        </w:rPr>
        <w:t xml:space="preserve"> provides a calculation of the </w:t>
      </w:r>
      <w:r w:rsidR="00BB7332">
        <w:rPr>
          <w:color w:val="000000"/>
        </w:rPr>
        <w:t>Commission Approved</w:t>
      </w:r>
      <w:r w:rsidR="00F04A5B" w:rsidRPr="00471E4F">
        <w:rPr>
          <w:color w:val="000000"/>
        </w:rPr>
        <w:t xml:space="preserve"> Renewable Portfolio Standard Cost A</w:t>
      </w:r>
      <w:r w:rsidR="00B3147B" w:rsidRPr="00471E4F">
        <w:rPr>
          <w:color w:val="000000"/>
        </w:rPr>
        <w:t>dder t</w:t>
      </w:r>
      <w:r w:rsidR="00936CED">
        <w:rPr>
          <w:color w:val="000000"/>
        </w:rPr>
        <w:t>hat will be held constant from the prior filing and updated in the June</w:t>
      </w:r>
      <w:r w:rsidR="001C786D">
        <w:rPr>
          <w:color w:val="000000"/>
        </w:rPr>
        <w:t xml:space="preserve"> </w:t>
      </w:r>
      <w:r w:rsidR="00936CED">
        <w:rPr>
          <w:color w:val="000000"/>
        </w:rPr>
        <w:t>202</w:t>
      </w:r>
      <w:r w:rsidR="002F3FCF">
        <w:rPr>
          <w:color w:val="000000"/>
        </w:rPr>
        <w:t>5</w:t>
      </w:r>
      <w:r w:rsidR="00936CED">
        <w:rPr>
          <w:color w:val="000000"/>
        </w:rPr>
        <w:t xml:space="preserve"> filing</w:t>
      </w:r>
      <w:r w:rsidR="00B3147B" w:rsidRPr="00471E4F">
        <w:rPr>
          <w:color w:val="000000"/>
        </w:rPr>
        <w:t xml:space="preserve">.  </w:t>
      </w:r>
      <w:r w:rsidR="001B1C04">
        <w:rPr>
          <w:color w:val="000000"/>
        </w:rPr>
        <w:t>An RPS adder was received from one bidder but rejected as it exceeded the Company calculated RPS Cost adder.</w:t>
      </w:r>
    </w:p>
    <w:p w14:paraId="4085AC8F" w14:textId="77777777" w:rsidR="008433BD" w:rsidRPr="0098245F" w:rsidRDefault="008433BD" w:rsidP="0092371C">
      <w:pPr>
        <w:ind w:firstLine="360"/>
        <w:rPr>
          <w:color w:val="000000"/>
        </w:rPr>
      </w:pPr>
    </w:p>
    <w:p w14:paraId="6339BD7E" w14:textId="77777777" w:rsidR="00DF1C74" w:rsidRPr="0098245F" w:rsidRDefault="00DF1C74" w:rsidP="00DF1C74">
      <w:pPr>
        <w:numPr>
          <w:ilvl w:val="0"/>
          <w:numId w:val="1"/>
        </w:numPr>
        <w:rPr>
          <w:color w:val="000000"/>
        </w:rPr>
      </w:pPr>
      <w:r w:rsidRPr="0098245F">
        <w:rPr>
          <w:b/>
          <w:color w:val="000000"/>
        </w:rPr>
        <w:t>Retail Rate</w:t>
      </w:r>
    </w:p>
    <w:p w14:paraId="392778EB" w14:textId="77777777" w:rsidR="00DF1C74" w:rsidRPr="0098245F" w:rsidRDefault="00DF1C74" w:rsidP="00DF1C74">
      <w:pPr>
        <w:rPr>
          <w:color w:val="000000"/>
        </w:rPr>
      </w:pPr>
    </w:p>
    <w:p w14:paraId="3A56A9A9" w14:textId="77777777" w:rsidR="00DE69BD" w:rsidRPr="0098245F" w:rsidRDefault="005F660D" w:rsidP="00CA33FF">
      <w:pPr>
        <w:ind w:firstLine="360"/>
        <w:rPr>
          <w:color w:val="000000"/>
        </w:rPr>
      </w:pPr>
      <w:r w:rsidRPr="0098245F">
        <w:rPr>
          <w:color w:val="000000"/>
        </w:rPr>
        <w:t>The expected retail rates, excluding administrative cost adders, were based on the winning wholesale</w:t>
      </w:r>
      <w:r w:rsidR="00257C27" w:rsidRPr="0098245F">
        <w:rPr>
          <w:color w:val="000000"/>
        </w:rPr>
        <w:t xml:space="preserve"> costs</w:t>
      </w:r>
      <w:r w:rsidRPr="0098245F">
        <w:rPr>
          <w:color w:val="000000"/>
        </w:rPr>
        <w:t xml:space="preserve">.  </w:t>
      </w:r>
      <w:r w:rsidR="00CA33FF" w:rsidRPr="0098245F">
        <w:rPr>
          <w:color w:val="000000"/>
        </w:rPr>
        <w:t>T</w:t>
      </w:r>
      <w:r w:rsidR="00DE69BD" w:rsidRPr="0098245F">
        <w:rPr>
          <w:color w:val="000000"/>
        </w:rPr>
        <w:t xml:space="preserve">he retail prices in </w:t>
      </w:r>
      <w:r w:rsidR="005C2901" w:rsidRPr="0098245F">
        <w:rPr>
          <w:color w:val="000000"/>
        </w:rPr>
        <w:t>Exhibit</w:t>
      </w:r>
      <w:r w:rsidR="00DE69BD" w:rsidRPr="0098245F">
        <w:rPr>
          <w:color w:val="000000"/>
        </w:rPr>
        <w:t xml:space="preserve"> 6 were calculated by adjusting the wholesale prices in </w:t>
      </w:r>
      <w:r w:rsidR="005C2901" w:rsidRPr="0098245F">
        <w:rPr>
          <w:color w:val="000000"/>
        </w:rPr>
        <w:t>Exhibit</w:t>
      </w:r>
      <w:r w:rsidR="00DE69BD" w:rsidRPr="0098245F">
        <w:rPr>
          <w:color w:val="000000"/>
        </w:rPr>
        <w:t xml:space="preserve"> 5 by the ratio of wholesale purchases to retail deliveries.</w:t>
      </w:r>
    </w:p>
    <w:p w14:paraId="29B78D84" w14:textId="77777777" w:rsidR="005F660D" w:rsidRPr="0098245F" w:rsidRDefault="005F660D" w:rsidP="005F660D">
      <w:pPr>
        <w:rPr>
          <w:color w:val="000000"/>
        </w:rPr>
      </w:pPr>
    </w:p>
    <w:p w14:paraId="01BCC19F" w14:textId="36852300" w:rsidR="005F660D" w:rsidRPr="0098245F" w:rsidRDefault="009B37A4" w:rsidP="005C79BC">
      <w:pPr>
        <w:ind w:firstLine="360"/>
        <w:rPr>
          <w:color w:val="000000"/>
        </w:rPr>
      </w:pPr>
      <w:r w:rsidRPr="0098245F">
        <w:rPr>
          <w:color w:val="000000"/>
        </w:rPr>
        <w:t xml:space="preserve">A summary of the </w:t>
      </w:r>
      <w:r w:rsidR="00001771" w:rsidRPr="0098245F">
        <w:rPr>
          <w:color w:val="000000"/>
        </w:rPr>
        <w:t>estimated</w:t>
      </w:r>
      <w:r w:rsidRPr="0098245F">
        <w:rPr>
          <w:color w:val="000000"/>
        </w:rPr>
        <w:t xml:space="preserve"> retail rates is provided in </w:t>
      </w:r>
      <w:r w:rsidR="005C2901" w:rsidRPr="0098245F">
        <w:rPr>
          <w:color w:val="000000"/>
        </w:rPr>
        <w:t>Exhibit</w:t>
      </w:r>
      <w:r w:rsidRPr="0098245F">
        <w:rPr>
          <w:color w:val="000000"/>
        </w:rPr>
        <w:t xml:space="preserve"> 1</w:t>
      </w:r>
      <w:r w:rsidR="0048053F">
        <w:rPr>
          <w:color w:val="000000"/>
        </w:rPr>
        <w:t>2</w:t>
      </w:r>
      <w:r w:rsidRPr="0098245F">
        <w:rPr>
          <w:color w:val="000000"/>
        </w:rPr>
        <w:t xml:space="preserve">.  </w:t>
      </w:r>
      <w:r w:rsidR="00063641" w:rsidRPr="0098245F">
        <w:rPr>
          <w:color w:val="000000"/>
        </w:rPr>
        <w:t>The</w:t>
      </w:r>
      <w:r w:rsidR="005F660D" w:rsidRPr="0098245F">
        <w:rPr>
          <w:color w:val="000000"/>
        </w:rPr>
        <w:t xml:space="preserve"> </w:t>
      </w:r>
      <w:r w:rsidR="00D374EC">
        <w:rPr>
          <w:color w:val="000000"/>
        </w:rPr>
        <w:t>Energy</w:t>
      </w:r>
      <w:r w:rsidR="005F660D" w:rsidRPr="0098245F">
        <w:rPr>
          <w:color w:val="000000"/>
        </w:rPr>
        <w:t xml:space="preserve"> Service retail rates were adjusted to include the average cost of RPS certificates that could be purchased in the open market.</w:t>
      </w:r>
    </w:p>
    <w:p w14:paraId="415C9ADF" w14:textId="77777777" w:rsidR="005F660D" w:rsidRPr="0098245F" w:rsidRDefault="005F660D" w:rsidP="005F660D">
      <w:pPr>
        <w:rPr>
          <w:color w:val="000000"/>
        </w:rPr>
      </w:pPr>
    </w:p>
    <w:p w14:paraId="18AE3A01" w14:textId="77777777" w:rsidR="005F660D" w:rsidRPr="0098245F" w:rsidRDefault="00B64091" w:rsidP="005C79BC">
      <w:pPr>
        <w:jc w:val="center"/>
        <w:rPr>
          <w:b/>
          <w:color w:val="000000"/>
        </w:rPr>
      </w:pPr>
      <w:r w:rsidRPr="0098245F">
        <w:rPr>
          <w:b/>
          <w:color w:val="000000"/>
        </w:rPr>
        <w:br w:type="page"/>
      </w:r>
      <w:r w:rsidR="005C2901"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1</w:t>
      </w:r>
    </w:p>
    <w:p w14:paraId="6EF3EC70" w14:textId="77777777" w:rsidR="005F660D" w:rsidRPr="0098245F" w:rsidRDefault="005F660D" w:rsidP="005C79BC">
      <w:pPr>
        <w:jc w:val="center"/>
        <w:rPr>
          <w:b/>
          <w:color w:val="000000"/>
          <w:u w:val="single"/>
        </w:rPr>
      </w:pPr>
      <w:r w:rsidRPr="0098245F">
        <w:rPr>
          <w:b/>
          <w:color w:val="000000"/>
          <w:u w:val="single"/>
        </w:rPr>
        <w:t>LOAD BLOCK DESCRIPTIONS</w:t>
      </w:r>
    </w:p>
    <w:p w14:paraId="1EC267BF" w14:textId="77777777" w:rsidR="005F660D" w:rsidRPr="0098245F" w:rsidRDefault="005F660D" w:rsidP="005F66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880"/>
        </w:tabs>
        <w:ind w:left="720"/>
        <w:rPr>
          <w:color w:val="000000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146"/>
        <w:gridCol w:w="1350"/>
        <w:gridCol w:w="1053"/>
        <w:gridCol w:w="1800"/>
        <w:gridCol w:w="2706"/>
      </w:tblGrid>
      <w:tr w:rsidR="005F660D" w:rsidRPr="0098245F" w14:paraId="443F2D7B" w14:textId="77777777" w:rsidTr="00F67FDC">
        <w:trPr>
          <w:trHeight w:val="200"/>
          <w:jc w:val="center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2C2F6" w14:textId="77777777" w:rsidR="005F660D" w:rsidRPr="0098245F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color w:val="000000"/>
                <w:sz w:val="22"/>
                <w:szCs w:val="22"/>
              </w:rPr>
              <w:br w:type="page"/>
            </w:r>
            <w:r w:rsidRPr="0098245F">
              <w:rPr>
                <w:b/>
                <w:color w:val="000000"/>
                <w:sz w:val="22"/>
                <w:szCs w:val="22"/>
              </w:rPr>
              <w:t>Load Block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E102A" w14:textId="77777777" w:rsidR="005F660D" w:rsidRPr="0098245F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b/>
                <w:color w:val="000000"/>
                <w:sz w:val="22"/>
                <w:szCs w:val="22"/>
              </w:rPr>
              <w:t>Customer Group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4EE8F5" w14:textId="77777777" w:rsidR="005F660D" w:rsidRPr="0098245F" w:rsidRDefault="005F660D" w:rsidP="0049782C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b/>
                <w:color w:val="000000"/>
                <w:sz w:val="22"/>
                <w:szCs w:val="22"/>
              </w:rPr>
              <w:t>SMD Load Zone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BE6B4" w14:textId="2FBDB194" w:rsidR="005F660D" w:rsidRPr="0098245F" w:rsidRDefault="000E0A47" w:rsidP="006D5E5E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b/>
                <w:color w:val="000000"/>
                <w:sz w:val="22"/>
                <w:szCs w:val="22"/>
              </w:rPr>
              <w:t>Load Share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DE7036" w14:textId="77777777" w:rsidR="005F660D" w:rsidRPr="0098245F" w:rsidRDefault="005F660D" w:rsidP="006D5E5E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b/>
                <w:color w:val="000000"/>
                <w:sz w:val="22"/>
                <w:szCs w:val="22"/>
              </w:rPr>
              <w:t>Type of Service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83CC3D" w14:textId="77777777" w:rsidR="005F660D" w:rsidRPr="0098245F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245F">
              <w:rPr>
                <w:b/>
                <w:color w:val="000000"/>
                <w:sz w:val="22"/>
                <w:szCs w:val="22"/>
              </w:rPr>
              <w:t>Period</w:t>
            </w:r>
          </w:p>
        </w:tc>
      </w:tr>
      <w:tr w:rsidR="00DA6A7A" w:rsidRPr="0098245F" w14:paraId="10FBCC95" w14:textId="77777777" w:rsidTr="00F67FDC">
        <w:trPr>
          <w:trHeight w:val="198"/>
          <w:jc w:val="center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4ACC7" w14:textId="77777777" w:rsidR="00DA6A7A" w:rsidRDefault="00DA6A7A" w:rsidP="00DA6A7A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510D5" w14:textId="77777777" w:rsidR="00DA6A7A" w:rsidRPr="0098245F" w:rsidRDefault="00DA6A7A" w:rsidP="00DA6A7A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37A3E" w14:textId="77777777" w:rsidR="00DA6A7A" w:rsidRPr="0098245F" w:rsidRDefault="00DA6A7A" w:rsidP="00DA6A7A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  <w:sz w:val="22"/>
                <w:szCs w:val="22"/>
              </w:rPr>
            </w:pPr>
            <w:r w:rsidRPr="0098245F">
              <w:rPr>
                <w:color w:val="000000"/>
                <w:sz w:val="22"/>
                <w:szCs w:val="22"/>
              </w:rPr>
              <w:t>NH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D58592" w14:textId="29F435AC" w:rsidR="00DA6A7A" w:rsidRPr="0098245F" w:rsidRDefault="00C171DB" w:rsidP="00DA6A7A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A6A7A" w:rsidRPr="0098245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22534" w14:textId="77777777" w:rsidR="00DA6A7A" w:rsidRPr="0098245F" w:rsidRDefault="00DA6A7A" w:rsidP="00DA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</w:t>
            </w:r>
            <w:r w:rsidRPr="0098245F">
              <w:rPr>
                <w:color w:val="000000"/>
                <w:sz w:val="22"/>
                <w:szCs w:val="22"/>
              </w:rPr>
              <w:t xml:space="preserve"> Service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0A1CB3" w14:textId="69435315" w:rsidR="00DA6A7A" w:rsidRPr="0098245F" w:rsidRDefault="003B0C05" w:rsidP="00DA6A7A">
            <w:pPr>
              <w:rPr>
                <w:color w:val="000000"/>
              </w:rPr>
            </w:pPr>
            <w:r>
              <w:t>0</w:t>
            </w:r>
            <w:r w:rsidR="00A64D6F">
              <w:t>8</w:t>
            </w:r>
            <w:r>
              <w:t>/01/202</w:t>
            </w:r>
            <w:r w:rsidR="00C171DB">
              <w:t>5</w:t>
            </w:r>
            <w:r>
              <w:t xml:space="preserve"> – 0</w:t>
            </w:r>
            <w:r w:rsidR="00A64D6F">
              <w:t>1</w:t>
            </w:r>
            <w:r w:rsidR="00DA6A7A" w:rsidRPr="00DC0AFE">
              <w:t>/31/202</w:t>
            </w:r>
            <w:r w:rsidR="00A64D6F">
              <w:t>6</w:t>
            </w:r>
          </w:p>
        </w:tc>
      </w:tr>
    </w:tbl>
    <w:p w14:paraId="26E42388" w14:textId="77777777" w:rsidR="005F660D" w:rsidRPr="0098245F" w:rsidRDefault="005F660D" w:rsidP="005F66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880"/>
        </w:tabs>
        <w:ind w:left="720"/>
        <w:rPr>
          <w:color w:val="000000"/>
        </w:rPr>
      </w:pPr>
    </w:p>
    <w:p w14:paraId="1933E31D" w14:textId="77777777" w:rsidR="005F660D" w:rsidRPr="0098245F" w:rsidRDefault="005F660D" w:rsidP="005F660D">
      <w:pPr>
        <w:jc w:val="center"/>
        <w:rPr>
          <w:b/>
          <w:color w:val="000000"/>
        </w:rPr>
      </w:pPr>
      <w:r w:rsidRPr="0098245F">
        <w:rPr>
          <w:b/>
          <w:color w:val="000000"/>
          <w:u w:val="single"/>
        </w:rPr>
        <w:br w:type="page"/>
      </w:r>
      <w:r w:rsidR="005C2901" w:rsidRPr="0098245F">
        <w:rPr>
          <w:b/>
          <w:color w:val="000000"/>
        </w:rPr>
        <w:lastRenderedPageBreak/>
        <w:t>EXHIBIT</w:t>
      </w:r>
      <w:r w:rsidRPr="0098245F">
        <w:rPr>
          <w:b/>
          <w:color w:val="000000"/>
        </w:rPr>
        <w:t xml:space="preserve"> 2</w:t>
      </w:r>
    </w:p>
    <w:p w14:paraId="769C86AE" w14:textId="211B48E6" w:rsidR="005F660D" w:rsidRDefault="005F660D" w:rsidP="005067FE">
      <w:pPr>
        <w:jc w:val="center"/>
        <w:rPr>
          <w:b/>
          <w:color w:val="000000"/>
          <w:u w:val="single"/>
        </w:rPr>
      </w:pPr>
      <w:r w:rsidRPr="007E0AE2">
        <w:rPr>
          <w:b/>
          <w:color w:val="000000"/>
          <w:u w:val="single"/>
        </w:rPr>
        <w:t>INDICATIVE BID RANKING AT WHOLESALE</w:t>
      </w:r>
    </w:p>
    <w:p w14:paraId="2EC86E4E" w14:textId="77777777" w:rsidR="00A06CD8" w:rsidRDefault="00A06CD8" w:rsidP="005067FE">
      <w:pPr>
        <w:jc w:val="center"/>
        <w:rPr>
          <w:b/>
          <w:color w:val="000000"/>
          <w:u w:val="single"/>
        </w:rPr>
      </w:pPr>
    </w:p>
    <w:p w14:paraId="1CA86B55" w14:textId="3E3559B4" w:rsidR="009020D3" w:rsidRDefault="009020D3" w:rsidP="005067FE">
      <w:pPr>
        <w:jc w:val="center"/>
        <w:rPr>
          <w:b/>
          <w:color w:val="000000"/>
          <w:u w:val="single"/>
        </w:rPr>
      </w:pPr>
    </w:p>
    <w:p w14:paraId="148BE050" w14:textId="1235BCE7" w:rsidR="000757E3" w:rsidRDefault="002F56C3" w:rsidP="005067FE">
      <w:pPr>
        <w:jc w:val="center"/>
        <w:rPr>
          <w:b/>
          <w:color w:val="000000"/>
          <w:u w:val="single"/>
        </w:rPr>
      </w:pPr>
      <w:r w:rsidRPr="002F56C3">
        <w:rPr>
          <w:noProof/>
        </w:rPr>
        <w:drawing>
          <wp:inline distT="0" distB="0" distL="0" distR="0" wp14:anchorId="6B8C6051" wp14:editId="23BE0964">
            <wp:extent cx="5943600" cy="1841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E5F2" w14:textId="345FA22F" w:rsidR="00D8118D" w:rsidRDefault="00D8118D" w:rsidP="005067FE">
      <w:pPr>
        <w:jc w:val="center"/>
        <w:rPr>
          <w:b/>
          <w:color w:val="000000"/>
          <w:u w:val="single"/>
        </w:rPr>
      </w:pPr>
    </w:p>
    <w:p w14:paraId="2EAD5C8B" w14:textId="0669E625" w:rsidR="007C7EDA" w:rsidRDefault="007C7EDA" w:rsidP="005067FE">
      <w:pPr>
        <w:jc w:val="center"/>
        <w:rPr>
          <w:b/>
          <w:color w:val="000000"/>
          <w:u w:val="single"/>
        </w:rPr>
      </w:pPr>
    </w:p>
    <w:p w14:paraId="4BC3FC10" w14:textId="77777777" w:rsidR="003136E9" w:rsidRPr="00040BC8" w:rsidRDefault="003136E9" w:rsidP="005067FE">
      <w:pPr>
        <w:jc w:val="center"/>
        <w:rPr>
          <w:b/>
          <w:color w:val="000000"/>
          <w:u w:val="single"/>
        </w:rPr>
      </w:pPr>
    </w:p>
    <w:p w14:paraId="38A9DB2A" w14:textId="77777777" w:rsidR="00DB4EE6" w:rsidRDefault="00DB4EE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14:paraId="67499C91" w14:textId="77777777" w:rsidR="005F660D" w:rsidRPr="0098245F" w:rsidRDefault="005C2901" w:rsidP="00DB4EE6">
      <w:pPr>
        <w:jc w:val="center"/>
        <w:rPr>
          <w:b/>
          <w:color w:val="000000"/>
        </w:rPr>
      </w:pPr>
      <w:r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3</w:t>
      </w:r>
    </w:p>
    <w:p w14:paraId="0E085D5E" w14:textId="77777777" w:rsidR="005F660D" w:rsidRPr="007E0AE2" w:rsidRDefault="005F660D" w:rsidP="005067FE">
      <w:pPr>
        <w:jc w:val="center"/>
        <w:rPr>
          <w:b/>
          <w:color w:val="000000"/>
        </w:rPr>
      </w:pPr>
      <w:r w:rsidRPr="007E0AE2">
        <w:rPr>
          <w:b/>
          <w:color w:val="000000"/>
        </w:rPr>
        <w:t>INDICATIVE BID RANKING AT RETAIL</w:t>
      </w:r>
    </w:p>
    <w:p w14:paraId="71F287D5" w14:textId="77777777" w:rsidR="00923DF2" w:rsidRDefault="00923DF2" w:rsidP="00923DF2">
      <w:pPr>
        <w:jc w:val="center"/>
        <w:rPr>
          <w:b/>
          <w:color w:val="000000"/>
          <w:u w:val="single"/>
        </w:rPr>
      </w:pPr>
      <w:r w:rsidRPr="007E0AE2">
        <w:rPr>
          <w:b/>
          <w:color w:val="000000"/>
          <w:u w:val="single"/>
        </w:rPr>
        <w:t>WITHOUT RPS (¢/kWh)</w:t>
      </w:r>
    </w:p>
    <w:p w14:paraId="22E59B4E" w14:textId="77777777" w:rsidR="008E76C5" w:rsidRDefault="008E76C5" w:rsidP="00923DF2">
      <w:pPr>
        <w:jc w:val="center"/>
        <w:rPr>
          <w:b/>
          <w:color w:val="000000"/>
          <w:u w:val="single"/>
        </w:rPr>
      </w:pPr>
    </w:p>
    <w:p w14:paraId="0051E86D" w14:textId="4D96A419" w:rsidR="007077AA" w:rsidRDefault="007077AA" w:rsidP="00923DF2">
      <w:pPr>
        <w:jc w:val="center"/>
        <w:rPr>
          <w:b/>
          <w:color w:val="000000"/>
          <w:u w:val="single"/>
        </w:rPr>
      </w:pPr>
    </w:p>
    <w:p w14:paraId="1682A555" w14:textId="4AF15925" w:rsidR="000757E3" w:rsidRDefault="002F56C3" w:rsidP="00923DF2">
      <w:pPr>
        <w:jc w:val="center"/>
        <w:rPr>
          <w:b/>
          <w:color w:val="000000"/>
          <w:u w:val="single"/>
        </w:rPr>
      </w:pPr>
      <w:r w:rsidRPr="002F56C3">
        <w:rPr>
          <w:noProof/>
        </w:rPr>
        <w:drawing>
          <wp:inline distT="0" distB="0" distL="0" distR="0" wp14:anchorId="7660AAF2" wp14:editId="3CFD81DD">
            <wp:extent cx="5943600" cy="2101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3C64" w14:textId="2944F2C0" w:rsidR="0059435C" w:rsidRDefault="00100286" w:rsidP="00923DF2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14:paraId="1E0B3CBD" w14:textId="77777777" w:rsidR="004651B7" w:rsidRDefault="004651B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172A5D60" w14:textId="5161551E" w:rsidR="005F660D" w:rsidRPr="0098245F" w:rsidRDefault="005C2901" w:rsidP="00411C2B">
      <w:pPr>
        <w:jc w:val="center"/>
        <w:rPr>
          <w:b/>
          <w:color w:val="000000"/>
        </w:rPr>
      </w:pPr>
      <w:r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4</w:t>
      </w:r>
    </w:p>
    <w:p w14:paraId="4F4CFC59" w14:textId="77777777" w:rsidR="005F660D" w:rsidRPr="007E0AE2" w:rsidRDefault="005F660D" w:rsidP="005067FE">
      <w:pPr>
        <w:jc w:val="center"/>
        <w:rPr>
          <w:b/>
          <w:color w:val="000000"/>
        </w:rPr>
      </w:pPr>
      <w:r w:rsidRPr="007E0AE2">
        <w:rPr>
          <w:b/>
          <w:color w:val="000000"/>
        </w:rPr>
        <w:t>ESTIMATED INDICATIVE PRICES</w:t>
      </w:r>
    </w:p>
    <w:p w14:paraId="5779BF51" w14:textId="77777777" w:rsidR="005F660D" w:rsidRPr="007E0AE2" w:rsidRDefault="005F660D" w:rsidP="005067FE">
      <w:pPr>
        <w:jc w:val="center"/>
        <w:rPr>
          <w:b/>
          <w:color w:val="000000"/>
        </w:rPr>
      </w:pPr>
      <w:r w:rsidRPr="007E0AE2">
        <w:rPr>
          <w:b/>
          <w:color w:val="000000"/>
        </w:rPr>
        <w:t>FORECAST BASED ON NYMEX ELECTRICITY FUTURES</w:t>
      </w:r>
    </w:p>
    <w:p w14:paraId="74AD7039" w14:textId="748E1E03" w:rsidR="005F660D" w:rsidRDefault="00DC44F6" w:rsidP="005067FE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FEBRUARY</w:t>
      </w:r>
      <w:r w:rsidR="00CA6285" w:rsidRPr="007E0AE2">
        <w:rPr>
          <w:b/>
          <w:color w:val="000000"/>
          <w:u w:val="single"/>
        </w:rPr>
        <w:t xml:space="preserve"> 1</w:t>
      </w:r>
      <w:r w:rsidR="001C786D">
        <w:rPr>
          <w:b/>
          <w:color w:val="000000"/>
          <w:u w:val="single"/>
        </w:rPr>
        <w:t>,</w:t>
      </w:r>
      <w:r w:rsidR="00CA6285" w:rsidRPr="007E0AE2">
        <w:rPr>
          <w:b/>
          <w:color w:val="000000"/>
          <w:u w:val="single"/>
        </w:rPr>
        <w:t xml:space="preserve"> 202</w:t>
      </w:r>
      <w:r>
        <w:rPr>
          <w:b/>
          <w:color w:val="000000"/>
          <w:u w:val="single"/>
        </w:rPr>
        <w:t>5</w:t>
      </w:r>
      <w:r w:rsidR="005F660D" w:rsidRPr="007E0AE2">
        <w:rPr>
          <w:b/>
          <w:color w:val="000000"/>
          <w:u w:val="single"/>
        </w:rPr>
        <w:t xml:space="preserve"> – </w:t>
      </w:r>
      <w:r w:rsidR="00CA6285" w:rsidRPr="007E0AE2">
        <w:rPr>
          <w:b/>
          <w:color w:val="000000"/>
          <w:u w:val="single"/>
        </w:rPr>
        <w:t>J</w:t>
      </w:r>
      <w:r>
        <w:rPr>
          <w:b/>
          <w:color w:val="000000"/>
          <w:u w:val="single"/>
        </w:rPr>
        <w:t>ULY</w:t>
      </w:r>
      <w:r w:rsidR="00CA6285" w:rsidRPr="007E0AE2">
        <w:rPr>
          <w:b/>
          <w:color w:val="000000"/>
          <w:u w:val="single"/>
        </w:rPr>
        <w:t xml:space="preserve"> 31</w:t>
      </w:r>
      <w:r w:rsidR="00BF43E7" w:rsidRPr="007E0AE2">
        <w:rPr>
          <w:b/>
          <w:color w:val="000000"/>
          <w:u w:val="single"/>
        </w:rPr>
        <w:t xml:space="preserve">, </w:t>
      </w:r>
      <w:proofErr w:type="gramStart"/>
      <w:r w:rsidR="001C786D" w:rsidRPr="007E0AE2">
        <w:rPr>
          <w:b/>
          <w:color w:val="000000"/>
          <w:u w:val="single"/>
        </w:rPr>
        <w:t>202</w:t>
      </w:r>
      <w:r w:rsidR="001C786D">
        <w:rPr>
          <w:b/>
          <w:color w:val="000000"/>
          <w:u w:val="single"/>
        </w:rPr>
        <w:t>5</w:t>
      </w:r>
      <w:proofErr w:type="gramEnd"/>
      <w:r w:rsidR="001C786D" w:rsidRPr="007E0AE2">
        <w:rPr>
          <w:b/>
          <w:color w:val="000000"/>
          <w:u w:val="single"/>
        </w:rPr>
        <w:t xml:space="preserve"> </w:t>
      </w:r>
      <w:r w:rsidR="005F660D" w:rsidRPr="007E0AE2">
        <w:rPr>
          <w:b/>
          <w:color w:val="000000"/>
          <w:u w:val="single"/>
        </w:rPr>
        <w:t>PERIOD</w:t>
      </w:r>
    </w:p>
    <w:p w14:paraId="1349292F" w14:textId="77777777" w:rsidR="00301E68" w:rsidRDefault="00301E68" w:rsidP="005067FE">
      <w:pPr>
        <w:jc w:val="center"/>
        <w:rPr>
          <w:b/>
          <w:color w:val="000000"/>
          <w:u w:val="single"/>
        </w:rPr>
      </w:pPr>
    </w:p>
    <w:p w14:paraId="17F7FA68" w14:textId="0832079B" w:rsidR="008E76C5" w:rsidRDefault="008E76C5" w:rsidP="005067FE">
      <w:pPr>
        <w:jc w:val="center"/>
        <w:rPr>
          <w:b/>
          <w:color w:val="000000"/>
          <w:u w:val="single"/>
        </w:rPr>
      </w:pPr>
    </w:p>
    <w:p w14:paraId="3CB726D4" w14:textId="0DDAA460" w:rsidR="004A169E" w:rsidRDefault="00926CBF" w:rsidP="005067FE">
      <w:pPr>
        <w:jc w:val="center"/>
        <w:rPr>
          <w:b/>
          <w:color w:val="000000"/>
          <w:u w:val="single"/>
        </w:rPr>
      </w:pPr>
      <w:r w:rsidRPr="00926CBF">
        <w:rPr>
          <w:noProof/>
        </w:rPr>
        <w:drawing>
          <wp:inline distT="0" distB="0" distL="0" distR="0" wp14:anchorId="1DD1DF3D" wp14:editId="67B8201D">
            <wp:extent cx="5943600" cy="22339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710D" w14:textId="3E297635" w:rsidR="0059435C" w:rsidRDefault="0059435C" w:rsidP="005067FE">
      <w:pPr>
        <w:jc w:val="center"/>
        <w:rPr>
          <w:b/>
          <w:color w:val="000000"/>
          <w:u w:val="single"/>
        </w:rPr>
      </w:pPr>
    </w:p>
    <w:p w14:paraId="5752D7FD" w14:textId="77777777" w:rsidR="005F660D" w:rsidRDefault="005F660D" w:rsidP="00D069A3">
      <w:pPr>
        <w:jc w:val="center"/>
        <w:rPr>
          <w:noProof/>
        </w:rPr>
      </w:pPr>
    </w:p>
    <w:p w14:paraId="2034DDB4" w14:textId="77777777" w:rsidR="00241D8F" w:rsidRPr="0098245F" w:rsidRDefault="00241D8F" w:rsidP="00D069A3">
      <w:pPr>
        <w:jc w:val="center"/>
        <w:rPr>
          <w:color w:val="000000"/>
        </w:rPr>
      </w:pPr>
    </w:p>
    <w:p w14:paraId="2729FF3C" w14:textId="77777777" w:rsidR="00425505" w:rsidRPr="0098245F" w:rsidRDefault="00425505" w:rsidP="005067FE">
      <w:pPr>
        <w:jc w:val="center"/>
        <w:rPr>
          <w:b/>
          <w:color w:val="000000"/>
        </w:rPr>
      </w:pPr>
    </w:p>
    <w:p w14:paraId="11316728" w14:textId="77777777" w:rsidR="005F660D" w:rsidRPr="0098245F" w:rsidRDefault="00D2606D" w:rsidP="005C1410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5C2901"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5</w:t>
      </w:r>
    </w:p>
    <w:p w14:paraId="2F4F3283" w14:textId="77777777" w:rsidR="005F660D" w:rsidRDefault="005F660D" w:rsidP="005067FE">
      <w:pPr>
        <w:jc w:val="center"/>
        <w:rPr>
          <w:b/>
          <w:color w:val="000000"/>
          <w:u w:val="single"/>
        </w:rPr>
      </w:pPr>
      <w:r w:rsidRPr="00936CED">
        <w:rPr>
          <w:b/>
          <w:color w:val="000000"/>
          <w:u w:val="single"/>
        </w:rPr>
        <w:t>FINAL BID RANKING AT WHOLESALE</w:t>
      </w:r>
    </w:p>
    <w:p w14:paraId="32CB8411" w14:textId="15DD89D7" w:rsidR="00777906" w:rsidRDefault="00777906" w:rsidP="00155F98">
      <w:pPr>
        <w:rPr>
          <w:b/>
          <w:color w:val="000000"/>
          <w:u w:val="single"/>
        </w:rPr>
      </w:pPr>
    </w:p>
    <w:p w14:paraId="449646D5" w14:textId="4E29A481" w:rsidR="00F02841" w:rsidRDefault="00F02841" w:rsidP="005067FE">
      <w:pPr>
        <w:jc w:val="center"/>
        <w:rPr>
          <w:noProof/>
        </w:rPr>
      </w:pPr>
    </w:p>
    <w:p w14:paraId="54283E3B" w14:textId="2EF5B289" w:rsidR="00951E2A" w:rsidRDefault="00951E2A" w:rsidP="005067FE">
      <w:pPr>
        <w:jc w:val="center"/>
        <w:rPr>
          <w:b/>
          <w:color w:val="000000"/>
          <w:u w:val="single"/>
        </w:rPr>
      </w:pPr>
    </w:p>
    <w:p w14:paraId="26E84A02" w14:textId="2068BF95" w:rsidR="00B71EA4" w:rsidRDefault="003D02EA">
      <w:pPr>
        <w:rPr>
          <w:color w:val="000000"/>
        </w:rPr>
      </w:pPr>
      <w:r w:rsidRPr="003D02EA">
        <w:rPr>
          <w:noProof/>
        </w:rPr>
        <w:drawing>
          <wp:inline distT="0" distB="0" distL="0" distR="0" wp14:anchorId="757455EE" wp14:editId="5B1A7435">
            <wp:extent cx="5943600" cy="2207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EA4">
        <w:rPr>
          <w:color w:val="000000"/>
        </w:rPr>
        <w:br w:type="page"/>
      </w:r>
    </w:p>
    <w:p w14:paraId="386BE9C5" w14:textId="77777777" w:rsidR="007E74F6" w:rsidRPr="0098245F" w:rsidRDefault="005C2901" w:rsidP="00DB4EE6">
      <w:pPr>
        <w:jc w:val="center"/>
        <w:rPr>
          <w:b/>
          <w:color w:val="000000"/>
        </w:rPr>
      </w:pPr>
      <w:r w:rsidRPr="0098245F">
        <w:rPr>
          <w:b/>
          <w:color w:val="000000"/>
        </w:rPr>
        <w:lastRenderedPageBreak/>
        <w:t>EXHIBIT</w:t>
      </w:r>
      <w:r w:rsidR="007E74F6" w:rsidRPr="0098245F">
        <w:rPr>
          <w:b/>
          <w:color w:val="000000"/>
        </w:rPr>
        <w:t xml:space="preserve"> 6</w:t>
      </w:r>
    </w:p>
    <w:p w14:paraId="1EF40981" w14:textId="77777777" w:rsidR="005F660D" w:rsidRPr="00936CED" w:rsidRDefault="005F660D" w:rsidP="007E74F6">
      <w:pPr>
        <w:jc w:val="center"/>
        <w:rPr>
          <w:b/>
          <w:color w:val="000000"/>
        </w:rPr>
      </w:pPr>
      <w:r w:rsidRPr="00936CED">
        <w:rPr>
          <w:b/>
          <w:color w:val="000000"/>
        </w:rPr>
        <w:t>FINAL BID RANKING AT RETAIL</w:t>
      </w:r>
    </w:p>
    <w:p w14:paraId="131D52A9" w14:textId="07E91627" w:rsidR="005F660D" w:rsidRDefault="005F660D" w:rsidP="007E74F6">
      <w:pPr>
        <w:jc w:val="center"/>
        <w:rPr>
          <w:b/>
          <w:color w:val="000000"/>
          <w:u w:val="single"/>
        </w:rPr>
      </w:pPr>
      <w:r w:rsidRPr="00936CED">
        <w:rPr>
          <w:b/>
          <w:color w:val="000000"/>
          <w:u w:val="single"/>
        </w:rPr>
        <w:t>WITHOUT RPS (¢/kWh)</w:t>
      </w:r>
    </w:p>
    <w:p w14:paraId="14038C92" w14:textId="2D670BBB" w:rsidR="00740DCA" w:rsidRDefault="00740DCA" w:rsidP="007E74F6">
      <w:pPr>
        <w:jc w:val="center"/>
        <w:rPr>
          <w:b/>
          <w:color w:val="000000"/>
          <w:u w:val="single"/>
        </w:rPr>
      </w:pPr>
    </w:p>
    <w:p w14:paraId="6539E0CB" w14:textId="77777777" w:rsidR="00740DCA" w:rsidRDefault="00740DCA" w:rsidP="007E74F6">
      <w:pPr>
        <w:jc w:val="center"/>
        <w:rPr>
          <w:b/>
          <w:color w:val="000000"/>
          <w:u w:val="single"/>
        </w:rPr>
      </w:pPr>
    </w:p>
    <w:p w14:paraId="6544AFC2" w14:textId="20C31F0C" w:rsidR="00C03FBD" w:rsidRDefault="003D02EA" w:rsidP="007E74F6">
      <w:pPr>
        <w:jc w:val="center"/>
        <w:rPr>
          <w:b/>
          <w:color w:val="000000"/>
          <w:u w:val="single"/>
        </w:rPr>
      </w:pPr>
      <w:r w:rsidRPr="003D02EA">
        <w:rPr>
          <w:noProof/>
        </w:rPr>
        <w:drawing>
          <wp:inline distT="0" distB="0" distL="0" distR="0" wp14:anchorId="42563070" wp14:editId="09A5C3B1">
            <wp:extent cx="5943600" cy="22459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EB18" w14:textId="6E19E9DC" w:rsidR="007077AA" w:rsidRDefault="007077AA" w:rsidP="007E74F6">
      <w:pPr>
        <w:jc w:val="center"/>
        <w:rPr>
          <w:b/>
          <w:color w:val="000000"/>
          <w:u w:val="single"/>
        </w:rPr>
      </w:pPr>
    </w:p>
    <w:p w14:paraId="570AF4B2" w14:textId="79263889" w:rsidR="00777906" w:rsidRDefault="00777906" w:rsidP="007E74F6">
      <w:pPr>
        <w:jc w:val="center"/>
        <w:rPr>
          <w:b/>
          <w:color w:val="000000"/>
          <w:u w:val="single"/>
        </w:rPr>
      </w:pPr>
    </w:p>
    <w:p w14:paraId="5A5A2EFF" w14:textId="7834EFFC" w:rsidR="00F02841" w:rsidRDefault="00100286" w:rsidP="007E74F6">
      <w:pPr>
        <w:jc w:val="center"/>
        <w:rPr>
          <w:noProof/>
        </w:rPr>
      </w:pPr>
      <w:r>
        <w:rPr>
          <w:noProof/>
        </w:rPr>
        <w:t xml:space="preserve"> </w:t>
      </w:r>
    </w:p>
    <w:p w14:paraId="6BC0FA99" w14:textId="77777777" w:rsidR="00DB4EE6" w:rsidRDefault="00DB4EE6">
      <w:pPr>
        <w:rPr>
          <w:noProof/>
        </w:rPr>
      </w:pPr>
      <w:r>
        <w:rPr>
          <w:noProof/>
        </w:rPr>
        <w:br w:type="page"/>
      </w:r>
    </w:p>
    <w:p w14:paraId="655AA449" w14:textId="77777777" w:rsidR="00F32107" w:rsidRPr="0098245F" w:rsidRDefault="005C2901" w:rsidP="00DB4EE6">
      <w:pPr>
        <w:jc w:val="center"/>
        <w:rPr>
          <w:b/>
          <w:color w:val="000000"/>
        </w:rPr>
      </w:pPr>
      <w:r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7</w:t>
      </w:r>
    </w:p>
    <w:p w14:paraId="615D6327" w14:textId="77777777" w:rsidR="005F660D" w:rsidRPr="00936CED" w:rsidRDefault="005F660D" w:rsidP="00411C2B">
      <w:pPr>
        <w:jc w:val="center"/>
        <w:rPr>
          <w:b/>
          <w:color w:val="000000"/>
        </w:rPr>
      </w:pPr>
      <w:r w:rsidRPr="00936CED">
        <w:rPr>
          <w:b/>
          <w:color w:val="000000"/>
        </w:rPr>
        <w:t>ESTIMATED FINAL PRICES</w:t>
      </w:r>
    </w:p>
    <w:p w14:paraId="56B1B8D1" w14:textId="299A2CE7" w:rsidR="005F660D" w:rsidRPr="00936CED" w:rsidRDefault="005F660D" w:rsidP="00E80B84">
      <w:pPr>
        <w:jc w:val="center"/>
        <w:rPr>
          <w:b/>
          <w:color w:val="000000"/>
        </w:rPr>
      </w:pPr>
      <w:r w:rsidRPr="00936CED">
        <w:rPr>
          <w:b/>
          <w:color w:val="000000"/>
        </w:rPr>
        <w:t>FORECAST BASED ON ELECTRICITY FUTURES</w:t>
      </w:r>
    </w:p>
    <w:p w14:paraId="7B0C081B" w14:textId="2DBAFBEB" w:rsidR="001361AE" w:rsidRDefault="00DC44F6" w:rsidP="001361AE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FEBRUARY</w:t>
      </w:r>
      <w:r w:rsidR="001C786D" w:rsidRPr="00936CED">
        <w:rPr>
          <w:b/>
          <w:color w:val="000000"/>
          <w:u w:val="single"/>
        </w:rPr>
        <w:t xml:space="preserve"> </w:t>
      </w:r>
      <w:r w:rsidR="00CA6285" w:rsidRPr="00936CED">
        <w:rPr>
          <w:b/>
          <w:color w:val="000000"/>
          <w:u w:val="single"/>
        </w:rPr>
        <w:t>1</w:t>
      </w:r>
      <w:r w:rsidR="001C786D">
        <w:rPr>
          <w:b/>
          <w:color w:val="000000"/>
          <w:u w:val="single"/>
        </w:rPr>
        <w:t>,</w:t>
      </w:r>
      <w:r w:rsidR="00CA6285" w:rsidRPr="00936CED">
        <w:rPr>
          <w:b/>
          <w:color w:val="000000"/>
          <w:u w:val="single"/>
        </w:rPr>
        <w:t xml:space="preserve"> 202</w:t>
      </w:r>
      <w:r>
        <w:rPr>
          <w:b/>
          <w:color w:val="000000"/>
          <w:u w:val="single"/>
        </w:rPr>
        <w:t>5</w:t>
      </w:r>
      <w:r w:rsidR="00702F6A" w:rsidRPr="00936CED">
        <w:rPr>
          <w:b/>
          <w:color w:val="000000"/>
          <w:u w:val="single"/>
        </w:rPr>
        <w:t xml:space="preserve"> – </w:t>
      </w:r>
      <w:r w:rsidR="001C786D">
        <w:rPr>
          <w:b/>
          <w:color w:val="000000"/>
          <w:u w:val="single"/>
        </w:rPr>
        <w:t>J</w:t>
      </w:r>
      <w:r>
        <w:rPr>
          <w:b/>
          <w:color w:val="000000"/>
          <w:u w:val="single"/>
        </w:rPr>
        <w:t>ULY</w:t>
      </w:r>
      <w:r w:rsidR="001C786D" w:rsidRPr="00936CED">
        <w:rPr>
          <w:b/>
          <w:color w:val="000000"/>
          <w:u w:val="single"/>
        </w:rPr>
        <w:t xml:space="preserve"> </w:t>
      </w:r>
      <w:r w:rsidR="00CA6285" w:rsidRPr="00936CED">
        <w:rPr>
          <w:b/>
          <w:color w:val="000000"/>
          <w:u w:val="single"/>
        </w:rPr>
        <w:t>31</w:t>
      </w:r>
      <w:r w:rsidR="00BF43E7" w:rsidRPr="00936CED">
        <w:rPr>
          <w:b/>
          <w:color w:val="000000"/>
          <w:u w:val="single"/>
        </w:rPr>
        <w:t xml:space="preserve">, </w:t>
      </w:r>
      <w:proofErr w:type="gramStart"/>
      <w:r w:rsidR="001C786D" w:rsidRPr="00936CED">
        <w:rPr>
          <w:b/>
          <w:color w:val="000000"/>
          <w:u w:val="single"/>
        </w:rPr>
        <w:t>202</w:t>
      </w:r>
      <w:r w:rsidR="001C786D">
        <w:rPr>
          <w:b/>
          <w:color w:val="000000"/>
          <w:u w:val="single"/>
        </w:rPr>
        <w:t>5</w:t>
      </w:r>
      <w:proofErr w:type="gramEnd"/>
      <w:r w:rsidR="001C786D" w:rsidRPr="00936CED">
        <w:rPr>
          <w:b/>
          <w:color w:val="000000"/>
          <w:u w:val="single"/>
        </w:rPr>
        <w:t xml:space="preserve"> </w:t>
      </w:r>
      <w:r w:rsidR="001361AE" w:rsidRPr="00936CED">
        <w:rPr>
          <w:b/>
          <w:color w:val="000000"/>
          <w:u w:val="single"/>
        </w:rPr>
        <w:t>PERIOD</w:t>
      </w:r>
    </w:p>
    <w:p w14:paraId="2DC9BD89" w14:textId="77777777" w:rsidR="00E32FFF" w:rsidRDefault="00E32FFF" w:rsidP="001361AE">
      <w:pPr>
        <w:jc w:val="center"/>
        <w:rPr>
          <w:b/>
          <w:color w:val="000000"/>
          <w:u w:val="single"/>
        </w:rPr>
      </w:pPr>
    </w:p>
    <w:p w14:paraId="17A00060" w14:textId="216E728F" w:rsidR="00B71EA4" w:rsidRDefault="00B71EA4" w:rsidP="001361AE">
      <w:pPr>
        <w:jc w:val="center"/>
        <w:rPr>
          <w:color w:val="000000"/>
        </w:rPr>
      </w:pPr>
    </w:p>
    <w:p w14:paraId="703B336C" w14:textId="740F5BBF" w:rsidR="00241D8F" w:rsidRPr="00B71EA4" w:rsidRDefault="002D639F" w:rsidP="001361AE">
      <w:pPr>
        <w:jc w:val="center"/>
        <w:rPr>
          <w:color w:val="000000"/>
        </w:rPr>
      </w:pPr>
      <w:r w:rsidRPr="002D639F">
        <w:rPr>
          <w:noProof/>
        </w:rPr>
        <w:drawing>
          <wp:inline distT="0" distB="0" distL="0" distR="0" wp14:anchorId="26CE25EB" wp14:editId="41BE453F">
            <wp:extent cx="5943600" cy="25888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9A31" w14:textId="77777777" w:rsidR="00B71EA4" w:rsidRPr="00B71EA4" w:rsidRDefault="00B71EA4" w:rsidP="001361AE">
      <w:pPr>
        <w:jc w:val="center"/>
        <w:rPr>
          <w:color w:val="000000"/>
        </w:rPr>
      </w:pPr>
    </w:p>
    <w:p w14:paraId="25980944" w14:textId="77777777" w:rsidR="00560B96" w:rsidRDefault="00560B9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14:paraId="54A849C6" w14:textId="77777777" w:rsidR="005F660D" w:rsidRPr="0098245F" w:rsidRDefault="005C2901" w:rsidP="00560B96">
      <w:pPr>
        <w:jc w:val="center"/>
        <w:rPr>
          <w:b/>
          <w:color w:val="000000"/>
        </w:rPr>
      </w:pPr>
      <w:r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</w:t>
      </w:r>
      <w:r w:rsidR="007D0FA7" w:rsidRPr="0098245F">
        <w:rPr>
          <w:b/>
          <w:color w:val="000000"/>
        </w:rPr>
        <w:t>8</w:t>
      </w:r>
    </w:p>
    <w:p w14:paraId="57230320" w14:textId="77777777" w:rsidR="005F660D" w:rsidRPr="0098245F" w:rsidRDefault="005F660D" w:rsidP="00E80B84">
      <w:pPr>
        <w:jc w:val="center"/>
        <w:rPr>
          <w:b/>
          <w:color w:val="000000"/>
          <w:u w:val="single"/>
        </w:rPr>
      </w:pPr>
      <w:r w:rsidRPr="00936CED">
        <w:rPr>
          <w:b/>
          <w:color w:val="000000"/>
          <w:u w:val="single"/>
        </w:rPr>
        <w:t>SUMMARY OF LOAD BLOCK AWARDS</w:t>
      </w:r>
    </w:p>
    <w:p w14:paraId="753BC66D" w14:textId="77777777" w:rsidR="005F660D" w:rsidRPr="0098245F" w:rsidRDefault="005F660D" w:rsidP="005F66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880"/>
        </w:tabs>
        <w:ind w:left="-720"/>
        <w:rPr>
          <w:color w:val="000000"/>
        </w:rPr>
      </w:pPr>
    </w:p>
    <w:tbl>
      <w:tblPr>
        <w:tblW w:w="9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1189"/>
        <w:gridCol w:w="1170"/>
        <w:gridCol w:w="3150"/>
        <w:gridCol w:w="2492"/>
      </w:tblGrid>
      <w:tr w:rsidR="005F660D" w:rsidRPr="0098245F" w14:paraId="6750DFBC" w14:textId="77777777" w:rsidTr="004F2646">
        <w:trPr>
          <w:trHeight w:val="525"/>
          <w:jc w:val="center"/>
        </w:trPr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3841B5" w14:textId="77777777" w:rsidR="005F660D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"/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color w:val="000000"/>
                <w:sz w:val="22"/>
                <w:szCs w:val="22"/>
              </w:rPr>
              <w:br w:type="page"/>
            </w:r>
            <w:r w:rsidRPr="007E5702">
              <w:rPr>
                <w:b/>
                <w:color w:val="000000"/>
                <w:sz w:val="22"/>
                <w:szCs w:val="22"/>
              </w:rPr>
              <w:t>Load Block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D64D7" w14:textId="77777777" w:rsidR="00197860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8"/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b/>
                <w:color w:val="000000"/>
                <w:sz w:val="22"/>
                <w:szCs w:val="22"/>
              </w:rPr>
              <w:t>Customer</w:t>
            </w:r>
          </w:p>
          <w:p w14:paraId="6C526CC3" w14:textId="77777777" w:rsidR="005F660D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8"/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b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35AD2" w14:textId="77777777" w:rsidR="005F660D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b/>
                <w:color w:val="000000"/>
                <w:sz w:val="22"/>
                <w:szCs w:val="22"/>
              </w:rPr>
              <w:t>SM Load Zone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FE602" w14:textId="77777777" w:rsidR="005F660D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b/>
                <w:color w:val="000000"/>
                <w:sz w:val="22"/>
                <w:szCs w:val="22"/>
              </w:rPr>
              <w:t>Supplier</w:t>
            </w:r>
          </w:p>
        </w:tc>
        <w:tc>
          <w:tcPr>
            <w:tcW w:w="2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7ABA6" w14:textId="77777777" w:rsidR="005F660D" w:rsidRPr="007E5702" w:rsidRDefault="005F660D" w:rsidP="004135A9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E5702">
              <w:rPr>
                <w:b/>
                <w:color w:val="000000"/>
                <w:sz w:val="22"/>
                <w:szCs w:val="22"/>
              </w:rPr>
              <w:t>Basis for Award</w:t>
            </w:r>
          </w:p>
        </w:tc>
      </w:tr>
      <w:tr w:rsidR="009B6A3F" w:rsidRPr="0098245F" w14:paraId="27051661" w14:textId="77777777" w:rsidTr="004F2646">
        <w:trPr>
          <w:trHeight w:val="444"/>
          <w:jc w:val="center"/>
        </w:trPr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425BE" w14:textId="77777777" w:rsidR="009B6A3F" w:rsidRPr="007E5702" w:rsidRDefault="009B6A3F" w:rsidP="00957CF7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color w:val="000000"/>
              </w:rPr>
            </w:pPr>
            <w:r w:rsidRPr="007E5702">
              <w:rPr>
                <w:b/>
                <w:color w:val="000000"/>
              </w:rPr>
              <w:t>C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8E56E" w14:textId="77777777" w:rsidR="009B6A3F" w:rsidRPr="007E5702" w:rsidRDefault="009B6A3F" w:rsidP="00CF4047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7E5702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68D17" w14:textId="77777777" w:rsidR="009B6A3F" w:rsidRPr="007E5702" w:rsidRDefault="009B6A3F" w:rsidP="00CF4047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  <w:sz w:val="22"/>
                <w:szCs w:val="22"/>
              </w:rPr>
            </w:pPr>
            <w:r w:rsidRPr="007E5702">
              <w:rPr>
                <w:color w:val="000000"/>
                <w:sz w:val="22"/>
                <w:szCs w:val="22"/>
              </w:rPr>
              <w:t>NH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FAD48" w14:textId="5CE38523" w:rsidR="009B6A3F" w:rsidRPr="00EC0D33" w:rsidRDefault="002D639F" w:rsidP="002D6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Macquarie Energy, LLC</w:t>
            </w:r>
          </w:p>
        </w:tc>
        <w:tc>
          <w:tcPr>
            <w:tcW w:w="2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77BCD" w14:textId="77777777" w:rsidR="009B6A3F" w:rsidRPr="007E5702" w:rsidRDefault="007077AA" w:rsidP="00ED1903">
            <w:pPr>
              <w:rPr>
                <w:color w:val="000000"/>
              </w:rPr>
            </w:pPr>
            <w:r w:rsidRPr="007E5702">
              <w:rPr>
                <w:color w:val="000000"/>
                <w:sz w:val="22"/>
                <w:szCs w:val="22"/>
              </w:rPr>
              <w:t>Lowest bidder for block</w:t>
            </w:r>
          </w:p>
        </w:tc>
      </w:tr>
    </w:tbl>
    <w:p w14:paraId="093855D7" w14:textId="77777777" w:rsidR="005F660D" w:rsidRPr="0098245F" w:rsidRDefault="005F660D" w:rsidP="006F01D3">
      <w:pPr>
        <w:tabs>
          <w:tab w:val="left" w:pos="-1080"/>
          <w:tab w:val="left" w:pos="0"/>
          <w:tab w:val="left" w:pos="720"/>
          <w:tab w:val="left" w:pos="1440"/>
          <w:tab w:val="left" w:pos="1620"/>
          <w:tab w:val="left" w:pos="2880"/>
        </w:tabs>
        <w:rPr>
          <w:color w:val="000000"/>
        </w:rPr>
      </w:pPr>
    </w:p>
    <w:p w14:paraId="5141E156" w14:textId="77777777" w:rsidR="005F660D" w:rsidRPr="00AA4580" w:rsidRDefault="005F660D" w:rsidP="00E80B84">
      <w:pPr>
        <w:jc w:val="center"/>
        <w:rPr>
          <w:b/>
          <w:color w:val="000000"/>
        </w:rPr>
      </w:pPr>
      <w:r w:rsidRPr="0098245F">
        <w:rPr>
          <w:b/>
          <w:color w:val="000000"/>
        </w:rPr>
        <w:br w:type="page"/>
      </w:r>
      <w:r w:rsidR="005C2901" w:rsidRPr="00AA4580">
        <w:rPr>
          <w:b/>
          <w:color w:val="000000"/>
        </w:rPr>
        <w:lastRenderedPageBreak/>
        <w:t>EXHIBIT</w:t>
      </w:r>
      <w:r w:rsidRPr="00AA4580">
        <w:rPr>
          <w:b/>
          <w:color w:val="000000"/>
        </w:rPr>
        <w:t xml:space="preserve"> </w:t>
      </w:r>
      <w:r w:rsidR="007D0FA7" w:rsidRPr="00AA4580">
        <w:rPr>
          <w:b/>
          <w:color w:val="000000"/>
        </w:rPr>
        <w:t>9</w:t>
      </w:r>
    </w:p>
    <w:p w14:paraId="676E7DFA" w14:textId="77777777" w:rsidR="005F660D" w:rsidRDefault="005F660D" w:rsidP="00E80B84">
      <w:pPr>
        <w:jc w:val="center"/>
        <w:rPr>
          <w:b/>
          <w:color w:val="000000"/>
          <w:u w:val="single"/>
        </w:rPr>
      </w:pPr>
      <w:r w:rsidRPr="00AA4580">
        <w:rPr>
          <w:b/>
          <w:color w:val="000000"/>
          <w:u w:val="single"/>
        </w:rPr>
        <w:t>BIDDER KEY</w:t>
      </w:r>
    </w:p>
    <w:p w14:paraId="14E3C294" w14:textId="77777777" w:rsidR="00612652" w:rsidRPr="0098245F" w:rsidRDefault="00612652" w:rsidP="00E80B84">
      <w:pPr>
        <w:jc w:val="center"/>
        <w:rPr>
          <w:b/>
          <w:color w:val="000000"/>
          <w:u w:val="single"/>
        </w:rPr>
      </w:pPr>
    </w:p>
    <w:p w14:paraId="00AC6AAE" w14:textId="4A34A991" w:rsidR="005F660D" w:rsidRDefault="005F660D" w:rsidP="00612652">
      <w:pPr>
        <w:ind w:left="-720" w:firstLine="720"/>
        <w:jc w:val="center"/>
        <w:rPr>
          <w:b/>
          <w:color w:val="000000"/>
        </w:rPr>
      </w:pPr>
    </w:p>
    <w:p w14:paraId="7185508D" w14:textId="69E0C35B" w:rsidR="00114001" w:rsidRPr="0098245F" w:rsidRDefault="00100286" w:rsidP="00612652">
      <w:pPr>
        <w:ind w:left="-720" w:firstLine="72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D639F" w:rsidRPr="002D639F">
        <w:rPr>
          <w:noProof/>
        </w:rPr>
        <w:drawing>
          <wp:inline distT="0" distB="0" distL="0" distR="0" wp14:anchorId="6F1894D0" wp14:editId="0076D547">
            <wp:extent cx="3609975" cy="29146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2C09" w14:textId="77777777" w:rsidR="00923DF2" w:rsidRPr="0098245F" w:rsidRDefault="00923DF2" w:rsidP="00E80B84">
      <w:pPr>
        <w:jc w:val="center"/>
        <w:rPr>
          <w:b/>
          <w:color w:val="000000"/>
        </w:rPr>
      </w:pPr>
    </w:p>
    <w:p w14:paraId="44560932" w14:textId="77777777" w:rsidR="005F660D" w:rsidRDefault="00197860" w:rsidP="00197860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5C2901" w:rsidRPr="0098245F">
        <w:rPr>
          <w:b/>
          <w:color w:val="000000"/>
        </w:rPr>
        <w:lastRenderedPageBreak/>
        <w:t>EXHIBIT</w:t>
      </w:r>
      <w:r w:rsidR="005F660D" w:rsidRPr="0098245F">
        <w:rPr>
          <w:b/>
          <w:color w:val="000000"/>
        </w:rPr>
        <w:t xml:space="preserve"> 1</w:t>
      </w:r>
      <w:r w:rsidR="007D0FA7" w:rsidRPr="0098245F">
        <w:rPr>
          <w:b/>
          <w:color w:val="000000"/>
        </w:rPr>
        <w:t>0</w:t>
      </w:r>
    </w:p>
    <w:p w14:paraId="33AB9849" w14:textId="17392D52" w:rsidR="00F846D4" w:rsidRDefault="00FF556C" w:rsidP="00197860">
      <w:pPr>
        <w:jc w:val="center"/>
        <w:rPr>
          <w:b/>
          <w:color w:val="000000"/>
          <w:u w:val="single"/>
        </w:rPr>
      </w:pPr>
      <w:r w:rsidRPr="00AA4580">
        <w:rPr>
          <w:b/>
          <w:color w:val="000000"/>
          <w:u w:val="single"/>
        </w:rPr>
        <w:t>ANA</w:t>
      </w:r>
      <w:r w:rsidR="007E5702" w:rsidRPr="00AA4580">
        <w:rPr>
          <w:b/>
          <w:color w:val="000000"/>
          <w:u w:val="single"/>
        </w:rPr>
        <w:t>LY</w:t>
      </w:r>
      <w:r w:rsidRPr="00AA4580">
        <w:rPr>
          <w:b/>
          <w:color w:val="000000"/>
          <w:u w:val="single"/>
        </w:rPr>
        <w:t>SIS OF RPS</w:t>
      </w:r>
      <w:r w:rsidR="00F846D4" w:rsidRPr="00AA4580">
        <w:rPr>
          <w:b/>
          <w:color w:val="000000"/>
          <w:u w:val="single"/>
        </w:rPr>
        <w:t xml:space="preserve"> BIDS</w:t>
      </w:r>
    </w:p>
    <w:p w14:paraId="58FDE92E" w14:textId="25158C36" w:rsidR="00ED1903" w:rsidRDefault="00ED1903" w:rsidP="00197860">
      <w:pPr>
        <w:jc w:val="center"/>
        <w:rPr>
          <w:b/>
          <w:color w:val="000000"/>
          <w:u w:val="single"/>
        </w:rPr>
      </w:pPr>
    </w:p>
    <w:p w14:paraId="0F3B57D9" w14:textId="1232B751" w:rsidR="00692A1F" w:rsidRDefault="00D12DE1" w:rsidP="008C3F0F">
      <w:pPr>
        <w:jc w:val="center"/>
        <w:rPr>
          <w:noProof/>
        </w:rPr>
      </w:pPr>
      <w:r w:rsidRPr="00CB315D">
        <w:rPr>
          <w:noProof/>
        </w:rPr>
        <w:t xml:space="preserve"> </w:t>
      </w:r>
      <w:r w:rsidR="001B1C04" w:rsidRPr="001B1C04">
        <w:rPr>
          <w:noProof/>
        </w:rPr>
        <w:drawing>
          <wp:inline distT="0" distB="0" distL="0" distR="0" wp14:anchorId="151948D6" wp14:editId="4CCA7D8D">
            <wp:extent cx="5943600" cy="2294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A1F">
        <w:rPr>
          <w:noProof/>
        </w:rPr>
        <w:br w:type="page"/>
      </w:r>
    </w:p>
    <w:p w14:paraId="72A5E344" w14:textId="77777777" w:rsidR="00F846D4" w:rsidRDefault="00F846D4" w:rsidP="0019786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EXHIBIT 11</w:t>
      </w:r>
    </w:p>
    <w:p w14:paraId="610C93D3" w14:textId="1AB7C860" w:rsidR="003439C0" w:rsidRDefault="002334FE" w:rsidP="00197860">
      <w:pPr>
        <w:jc w:val="center"/>
        <w:rPr>
          <w:b/>
          <w:color w:val="000000"/>
          <w:u w:val="single"/>
        </w:rPr>
      </w:pPr>
      <w:r w:rsidRPr="00936CED">
        <w:rPr>
          <w:b/>
          <w:color w:val="000000"/>
          <w:u w:val="single"/>
        </w:rPr>
        <w:t>RENEWABLE PORTFOLIO STANDARD</w:t>
      </w:r>
      <w:r w:rsidR="003439C0" w:rsidRPr="00936CED">
        <w:rPr>
          <w:b/>
          <w:color w:val="000000"/>
          <w:u w:val="single"/>
        </w:rPr>
        <w:t xml:space="preserve"> ADDER CALCULATION</w:t>
      </w:r>
    </w:p>
    <w:p w14:paraId="77A41CAE" w14:textId="393222FB" w:rsidR="0001498B" w:rsidRDefault="0001498B" w:rsidP="00197860">
      <w:pPr>
        <w:jc w:val="center"/>
        <w:rPr>
          <w:b/>
          <w:color w:val="000000"/>
          <w:u w:val="single"/>
        </w:rPr>
      </w:pPr>
    </w:p>
    <w:p w14:paraId="3A8FE3B0" w14:textId="620C9D9E" w:rsidR="007077AA" w:rsidRDefault="00502C28" w:rsidP="00197860">
      <w:pPr>
        <w:jc w:val="center"/>
        <w:rPr>
          <w:b/>
          <w:color w:val="000000"/>
          <w:u w:val="single"/>
        </w:rPr>
      </w:pPr>
      <w:r w:rsidRPr="00502C28">
        <w:rPr>
          <w:noProof/>
        </w:rPr>
        <w:drawing>
          <wp:inline distT="0" distB="0" distL="0" distR="0" wp14:anchorId="1F120D30" wp14:editId="004B1CC2">
            <wp:extent cx="5943600" cy="67779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AF34" w14:textId="15CE0F17" w:rsidR="0059435C" w:rsidRPr="0098245F" w:rsidRDefault="0059435C" w:rsidP="00197860">
      <w:pPr>
        <w:jc w:val="center"/>
        <w:rPr>
          <w:b/>
          <w:color w:val="000000"/>
        </w:rPr>
      </w:pPr>
    </w:p>
    <w:p w14:paraId="5D3436AE" w14:textId="77777777" w:rsidR="00584058" w:rsidRDefault="00584058" w:rsidP="00E80B84">
      <w:pPr>
        <w:jc w:val="center"/>
        <w:rPr>
          <w:b/>
          <w:color w:val="000000"/>
          <w:u w:val="single"/>
        </w:rPr>
      </w:pPr>
    </w:p>
    <w:p w14:paraId="3722946B" w14:textId="77777777" w:rsidR="00E7723E" w:rsidRPr="003439C0" w:rsidRDefault="003937D3" w:rsidP="003439C0">
      <w:pPr>
        <w:jc w:val="center"/>
        <w:rPr>
          <w:b/>
          <w:color w:val="000000"/>
          <w:u w:val="single"/>
        </w:rPr>
      </w:pPr>
      <w:r>
        <w:rPr>
          <w:color w:val="000000"/>
        </w:rPr>
        <w:br w:type="page"/>
      </w:r>
      <w:r w:rsidR="005C2901" w:rsidRPr="0098245F">
        <w:rPr>
          <w:b/>
          <w:color w:val="000000"/>
        </w:rPr>
        <w:lastRenderedPageBreak/>
        <w:t>EXHIBIT</w:t>
      </w:r>
      <w:r w:rsidR="00E7723E" w:rsidRPr="0098245F">
        <w:rPr>
          <w:b/>
          <w:color w:val="000000"/>
        </w:rPr>
        <w:t xml:space="preserve"> 1</w:t>
      </w:r>
      <w:r w:rsidR="00F846D4">
        <w:rPr>
          <w:b/>
          <w:color w:val="000000"/>
        </w:rPr>
        <w:t>2</w:t>
      </w:r>
    </w:p>
    <w:p w14:paraId="405669B7" w14:textId="77777777" w:rsidR="005F660D" w:rsidRDefault="005F660D" w:rsidP="00E80B84">
      <w:pPr>
        <w:jc w:val="center"/>
        <w:rPr>
          <w:b/>
          <w:color w:val="000000"/>
          <w:u w:val="single"/>
        </w:rPr>
      </w:pPr>
      <w:r w:rsidRPr="00AA4580">
        <w:rPr>
          <w:b/>
          <w:color w:val="000000"/>
          <w:u w:val="single"/>
        </w:rPr>
        <w:t>RETAIL RATES BASED ON FINAL BID PRICES</w:t>
      </w:r>
    </w:p>
    <w:p w14:paraId="4E225823" w14:textId="26CD7E3D" w:rsidR="007077AA" w:rsidRDefault="007077AA" w:rsidP="00E80B84">
      <w:pPr>
        <w:jc w:val="center"/>
        <w:rPr>
          <w:noProof/>
        </w:rPr>
      </w:pPr>
    </w:p>
    <w:p w14:paraId="3470A5E1" w14:textId="5BE0CA08" w:rsidR="00D4486B" w:rsidRDefault="002D639F" w:rsidP="00E80B84">
      <w:pPr>
        <w:jc w:val="center"/>
        <w:rPr>
          <w:b/>
          <w:color w:val="000000"/>
          <w:u w:val="single"/>
        </w:rPr>
      </w:pPr>
      <w:r w:rsidRPr="002D639F">
        <w:rPr>
          <w:noProof/>
        </w:rPr>
        <w:drawing>
          <wp:inline distT="0" distB="0" distL="0" distR="0" wp14:anchorId="1FDD46D2" wp14:editId="40A5E7D2">
            <wp:extent cx="5943600" cy="21234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C1B92" w14:textId="1E3A4CD7" w:rsidR="00EB61F8" w:rsidRPr="0098245F" w:rsidRDefault="00EB61F8" w:rsidP="00E80B84">
      <w:pPr>
        <w:jc w:val="center"/>
        <w:rPr>
          <w:b/>
          <w:color w:val="000000"/>
          <w:u w:val="single"/>
        </w:rPr>
      </w:pPr>
    </w:p>
    <w:p w14:paraId="7DDA763E" w14:textId="77777777" w:rsidR="005F660D" w:rsidRPr="0098245F" w:rsidRDefault="005F660D" w:rsidP="00241D8F">
      <w:pPr>
        <w:jc w:val="center"/>
        <w:rPr>
          <w:b/>
          <w:color w:val="000000"/>
          <w:u w:val="single"/>
        </w:rPr>
      </w:pPr>
    </w:p>
    <w:p w14:paraId="40F7304B" w14:textId="77777777" w:rsidR="005F660D" w:rsidRPr="0098245F" w:rsidRDefault="005F63AA" w:rsidP="005C1410">
      <w:pPr>
        <w:jc w:val="center"/>
        <w:rPr>
          <w:color w:val="000000"/>
        </w:rPr>
      </w:pPr>
      <w:r w:rsidRPr="005F63AA">
        <w:t xml:space="preserve"> </w:t>
      </w:r>
    </w:p>
    <w:sectPr w:rsidR="005F660D" w:rsidRPr="0098245F" w:rsidSect="005E3756">
      <w:headerReference w:type="default" r:id="rId18"/>
      <w:headerReference w:type="first" r:id="rId1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FA6" w14:textId="77777777" w:rsidR="00202BBB" w:rsidRDefault="00202BBB">
      <w:r>
        <w:separator/>
      </w:r>
    </w:p>
  </w:endnote>
  <w:endnote w:type="continuationSeparator" w:id="0">
    <w:p w14:paraId="4AC07353" w14:textId="77777777" w:rsidR="00202BBB" w:rsidRDefault="0020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4281" w14:textId="77777777" w:rsidR="00202BBB" w:rsidRDefault="00202BBB">
      <w:r>
        <w:separator/>
      </w:r>
    </w:p>
  </w:footnote>
  <w:footnote w:type="continuationSeparator" w:id="0">
    <w:p w14:paraId="389F236A" w14:textId="77777777" w:rsidR="00202BBB" w:rsidRDefault="0020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A25F" w14:textId="1CF2686E" w:rsidR="00BF43E7" w:rsidRPr="00E67FFD" w:rsidRDefault="00560B96" w:rsidP="006C56BD">
    <w:pPr>
      <w:tabs>
        <w:tab w:val="left" w:pos="-1440"/>
      </w:tabs>
      <w:ind w:left="1440" w:hanging="1440"/>
      <w:jc w:val="right"/>
      <w:rPr>
        <w:sz w:val="20"/>
        <w:szCs w:val="20"/>
      </w:rPr>
    </w:pPr>
    <w:r w:rsidRPr="00E67FFD">
      <w:rPr>
        <w:sz w:val="20"/>
        <w:szCs w:val="20"/>
      </w:rPr>
      <w:t>D</w:t>
    </w:r>
    <w:r>
      <w:rPr>
        <w:sz w:val="20"/>
        <w:szCs w:val="20"/>
      </w:rPr>
      <w:t xml:space="preserve">ocket DE </w:t>
    </w:r>
    <w:r w:rsidR="00BB5FE6">
      <w:rPr>
        <w:sz w:val="20"/>
        <w:szCs w:val="20"/>
      </w:rPr>
      <w:t>2</w:t>
    </w:r>
    <w:r w:rsidR="00A64D6F">
      <w:rPr>
        <w:sz w:val="20"/>
        <w:szCs w:val="20"/>
      </w:rPr>
      <w:t>5</w:t>
    </w:r>
    <w:r w:rsidR="00BB5FE6">
      <w:rPr>
        <w:sz w:val="20"/>
        <w:szCs w:val="20"/>
      </w:rPr>
      <w:t>-</w:t>
    </w:r>
    <w:r w:rsidR="00A64D6F">
      <w:rPr>
        <w:sz w:val="20"/>
        <w:szCs w:val="20"/>
      </w:rPr>
      <w:t>xxx</w:t>
    </w:r>
  </w:p>
  <w:p w14:paraId="7CE34FD6" w14:textId="21147B12" w:rsidR="00754037" w:rsidRDefault="00560B96" w:rsidP="00754037">
    <w:pPr>
      <w:tabs>
        <w:tab w:val="left" w:pos="-1440"/>
      </w:tabs>
      <w:ind w:left="1440" w:hanging="1440"/>
      <w:jc w:val="right"/>
      <w:rPr>
        <w:sz w:val="20"/>
        <w:szCs w:val="20"/>
      </w:rPr>
    </w:pPr>
    <w:r w:rsidRPr="00E67FFD">
      <w:rPr>
        <w:sz w:val="20"/>
        <w:szCs w:val="20"/>
      </w:rPr>
      <w:t xml:space="preserve">Testimony and Schedules of </w:t>
    </w:r>
    <w:r w:rsidR="00A824CA">
      <w:rPr>
        <w:sz w:val="20"/>
        <w:szCs w:val="20"/>
      </w:rPr>
      <w:t>C</w:t>
    </w:r>
    <w:r w:rsidR="00AA6486">
      <w:rPr>
        <w:sz w:val="20"/>
        <w:szCs w:val="20"/>
      </w:rPr>
      <w:t>.</w:t>
    </w:r>
    <w:r w:rsidR="00A824CA">
      <w:rPr>
        <w:sz w:val="20"/>
        <w:szCs w:val="20"/>
      </w:rPr>
      <w:t xml:space="preserve"> Gree</w:t>
    </w:r>
    <w:r w:rsidR="00AA6486">
      <w:rPr>
        <w:sz w:val="20"/>
        <w:szCs w:val="20"/>
      </w:rPr>
      <w:t>n</w:t>
    </w:r>
  </w:p>
  <w:p w14:paraId="31E45576" w14:textId="5E6CBE89" w:rsidR="00560B96" w:rsidRDefault="00560B96" w:rsidP="00560B96">
    <w:pPr>
      <w:tabs>
        <w:tab w:val="left" w:pos="-1440"/>
      </w:tabs>
      <w:ind w:left="1440" w:hanging="1440"/>
      <w:jc w:val="right"/>
      <w:rPr>
        <w:sz w:val="20"/>
        <w:szCs w:val="20"/>
      </w:rPr>
    </w:pPr>
    <w:r>
      <w:rPr>
        <w:sz w:val="20"/>
        <w:szCs w:val="20"/>
      </w:rPr>
      <w:t xml:space="preserve">Schedule </w:t>
    </w:r>
    <w:r w:rsidR="00A824CA">
      <w:rPr>
        <w:sz w:val="20"/>
        <w:szCs w:val="20"/>
      </w:rPr>
      <w:t>CG</w:t>
    </w:r>
    <w:r w:rsidR="00F96224">
      <w:rPr>
        <w:sz w:val="20"/>
        <w:szCs w:val="20"/>
      </w:rPr>
      <w:t>-2</w:t>
    </w:r>
  </w:p>
  <w:p w14:paraId="1FAF570D" w14:textId="77777777" w:rsidR="00560B96" w:rsidRDefault="00560B96" w:rsidP="00560B96">
    <w:pPr>
      <w:tabs>
        <w:tab w:val="left" w:pos="-1440"/>
      </w:tabs>
      <w:ind w:left="1440" w:hanging="1440"/>
      <w:jc w:val="right"/>
      <w:rPr>
        <w:rStyle w:val="PageNumber"/>
        <w:sz w:val="20"/>
        <w:szCs w:val="20"/>
      </w:rPr>
    </w:pPr>
    <w:r w:rsidRPr="00BA0532">
      <w:rPr>
        <w:sz w:val="20"/>
        <w:szCs w:val="20"/>
      </w:rPr>
      <w:t xml:space="preserve">Page </w:t>
    </w:r>
    <w:r w:rsidRPr="00BA0532">
      <w:rPr>
        <w:rStyle w:val="PageNumber"/>
        <w:sz w:val="20"/>
        <w:szCs w:val="20"/>
      </w:rPr>
      <w:fldChar w:fldCharType="begin"/>
    </w:r>
    <w:r w:rsidRPr="00BA0532">
      <w:rPr>
        <w:rStyle w:val="PageNumber"/>
        <w:sz w:val="20"/>
        <w:szCs w:val="20"/>
      </w:rPr>
      <w:instrText xml:space="preserve"> PAGE </w:instrText>
    </w:r>
    <w:r w:rsidRPr="00BA0532">
      <w:rPr>
        <w:rStyle w:val="PageNumber"/>
        <w:sz w:val="20"/>
        <w:szCs w:val="20"/>
      </w:rPr>
      <w:fldChar w:fldCharType="separate"/>
    </w:r>
    <w:r w:rsidR="00BA007E">
      <w:rPr>
        <w:rStyle w:val="PageNumber"/>
        <w:noProof/>
        <w:sz w:val="20"/>
        <w:szCs w:val="20"/>
      </w:rPr>
      <w:t>17</w:t>
    </w:r>
    <w:r w:rsidRPr="00BA0532">
      <w:rPr>
        <w:rStyle w:val="PageNumber"/>
        <w:sz w:val="20"/>
        <w:szCs w:val="20"/>
      </w:rPr>
      <w:fldChar w:fldCharType="end"/>
    </w:r>
    <w:r w:rsidRPr="00BA0532">
      <w:rPr>
        <w:sz w:val="20"/>
        <w:szCs w:val="20"/>
      </w:rPr>
      <w:t xml:space="preserve"> of </w:t>
    </w:r>
    <w:r w:rsidRPr="00BA0532">
      <w:rPr>
        <w:rStyle w:val="PageNumber"/>
        <w:sz w:val="20"/>
        <w:szCs w:val="20"/>
      </w:rPr>
      <w:fldChar w:fldCharType="begin"/>
    </w:r>
    <w:r w:rsidRPr="00BA0532">
      <w:rPr>
        <w:rStyle w:val="PageNumber"/>
        <w:sz w:val="20"/>
        <w:szCs w:val="20"/>
      </w:rPr>
      <w:instrText xml:space="preserve"> NUMPAGES </w:instrText>
    </w:r>
    <w:r w:rsidRPr="00BA0532">
      <w:rPr>
        <w:rStyle w:val="PageNumber"/>
        <w:sz w:val="20"/>
        <w:szCs w:val="20"/>
      </w:rPr>
      <w:fldChar w:fldCharType="separate"/>
    </w:r>
    <w:r w:rsidR="00BA007E">
      <w:rPr>
        <w:rStyle w:val="PageNumber"/>
        <w:noProof/>
        <w:sz w:val="20"/>
        <w:szCs w:val="20"/>
      </w:rPr>
      <w:t>17</w:t>
    </w:r>
    <w:r w:rsidRPr="00BA0532">
      <w:rPr>
        <w:rStyle w:val="PageNumber"/>
        <w:sz w:val="20"/>
        <w:szCs w:val="20"/>
      </w:rPr>
      <w:fldChar w:fldCharType="end"/>
    </w:r>
  </w:p>
  <w:p w14:paraId="24AB56A1" w14:textId="77777777" w:rsidR="0057198B" w:rsidRPr="00EE4572" w:rsidRDefault="0057198B" w:rsidP="00560B96">
    <w:pPr>
      <w:tabs>
        <w:tab w:val="left" w:pos="-1440"/>
      </w:tabs>
      <w:ind w:left="1440" w:hanging="1440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B1A5" w14:textId="77777777" w:rsidR="003937D3" w:rsidRPr="00EE4572" w:rsidRDefault="003937D3" w:rsidP="00857C0C">
    <w:pPr>
      <w:tabs>
        <w:tab w:val="left" w:pos="-1440"/>
      </w:tabs>
      <w:ind w:left="1440" w:hanging="1440"/>
      <w:jc w:val="center"/>
      <w:rPr>
        <w:b/>
        <w:color w:val="FF0000"/>
        <w:sz w:val="22"/>
        <w:szCs w:val="22"/>
      </w:rPr>
    </w:pPr>
    <w:r w:rsidRPr="00EE4572">
      <w:rPr>
        <w:b/>
        <w:color w:val="FF0000"/>
        <w:sz w:val="22"/>
        <w:szCs w:val="22"/>
      </w:rPr>
      <w:t>CONTAINS CONFIDENTIAL INFORMATION</w:t>
    </w:r>
  </w:p>
  <w:p w14:paraId="28BFF397" w14:textId="77777777" w:rsidR="003937D3" w:rsidRDefault="003937D3" w:rsidP="00857C0C">
    <w:pPr>
      <w:tabs>
        <w:tab w:val="left" w:pos="-1440"/>
      </w:tabs>
      <w:ind w:left="1440" w:hanging="1440"/>
      <w:jc w:val="center"/>
      <w:rPr>
        <w:b/>
        <w:color w:val="FF0000"/>
        <w:sz w:val="22"/>
        <w:szCs w:val="22"/>
      </w:rPr>
    </w:pPr>
    <w:r w:rsidRPr="00EE4572">
      <w:rPr>
        <w:b/>
        <w:color w:val="FF0000"/>
        <w:sz w:val="22"/>
        <w:szCs w:val="22"/>
      </w:rPr>
      <w:t>DO NOT RELEASE</w:t>
    </w:r>
  </w:p>
  <w:p w14:paraId="66F0A9DE" w14:textId="77777777" w:rsidR="003937D3" w:rsidRPr="00EE4572" w:rsidRDefault="003937D3" w:rsidP="00814CB4">
    <w:pPr>
      <w:tabs>
        <w:tab w:val="left" w:pos="-1440"/>
      </w:tabs>
      <w:ind w:left="1440" w:hanging="1440"/>
      <w:rPr>
        <w:b/>
        <w:sz w:val="22"/>
        <w:szCs w:val="22"/>
      </w:rPr>
    </w:pPr>
    <w:r>
      <w:rPr>
        <w:sz w:val="20"/>
        <w:szCs w:val="20"/>
      </w:rPr>
      <w:t>Granite State:</w:t>
    </w:r>
    <w:r w:rsidRPr="00EE4572">
      <w:rPr>
        <w:sz w:val="20"/>
        <w:szCs w:val="20"/>
      </w:rPr>
      <w:t xml:space="preserve"> </w:t>
    </w:r>
    <w:r w:rsidRPr="00BA0532">
      <w:rPr>
        <w:sz w:val="20"/>
        <w:szCs w:val="20"/>
      </w:rPr>
      <w:t xml:space="preserve">Page </w:t>
    </w:r>
    <w:r w:rsidRPr="00BA0532">
      <w:rPr>
        <w:rStyle w:val="PageNumber"/>
        <w:sz w:val="20"/>
        <w:szCs w:val="20"/>
      </w:rPr>
      <w:fldChar w:fldCharType="begin"/>
    </w:r>
    <w:r w:rsidRPr="00BA0532">
      <w:rPr>
        <w:rStyle w:val="PageNumber"/>
        <w:sz w:val="20"/>
        <w:szCs w:val="20"/>
      </w:rPr>
      <w:instrText xml:space="preserve"> PAGE </w:instrText>
    </w:r>
    <w:r w:rsidRPr="00BA0532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12</w:t>
    </w:r>
    <w:r w:rsidRPr="00BA0532">
      <w:rPr>
        <w:rStyle w:val="PageNumber"/>
        <w:sz w:val="20"/>
        <w:szCs w:val="20"/>
      </w:rPr>
      <w:fldChar w:fldCharType="end"/>
    </w:r>
    <w:r w:rsidRPr="00BA0532">
      <w:rPr>
        <w:sz w:val="20"/>
        <w:szCs w:val="20"/>
      </w:rPr>
      <w:t xml:space="preserve"> of </w:t>
    </w:r>
    <w:r w:rsidRPr="00BA0532">
      <w:rPr>
        <w:rStyle w:val="PageNumber"/>
        <w:sz w:val="20"/>
        <w:szCs w:val="20"/>
      </w:rPr>
      <w:fldChar w:fldCharType="begin"/>
    </w:r>
    <w:r w:rsidRPr="00BA0532">
      <w:rPr>
        <w:rStyle w:val="PageNumber"/>
        <w:sz w:val="20"/>
        <w:szCs w:val="20"/>
      </w:rPr>
      <w:instrText xml:space="preserve"> NUMPAGES </w:instrText>
    </w:r>
    <w:r w:rsidRPr="00BA0532">
      <w:rPr>
        <w:rStyle w:val="PageNumber"/>
        <w:sz w:val="20"/>
        <w:szCs w:val="20"/>
      </w:rPr>
      <w:fldChar w:fldCharType="separate"/>
    </w:r>
    <w:r w:rsidR="00B230D0">
      <w:rPr>
        <w:rStyle w:val="PageNumber"/>
        <w:noProof/>
        <w:sz w:val="20"/>
        <w:szCs w:val="20"/>
      </w:rPr>
      <w:t>17</w:t>
    </w:r>
    <w:r w:rsidRPr="00BA0532">
      <w:rPr>
        <w:rStyle w:val="PageNumber"/>
        <w:sz w:val="20"/>
        <w:szCs w:val="20"/>
      </w:rPr>
      <w:fldChar w:fldCharType="end"/>
    </w:r>
  </w:p>
  <w:p w14:paraId="39B18476" w14:textId="77777777" w:rsidR="003937D3" w:rsidRPr="00B3670D" w:rsidRDefault="003937D3" w:rsidP="00FA765F">
    <w:pPr>
      <w:tabs>
        <w:tab w:val="left" w:pos="-1440"/>
      </w:tabs>
      <w:ind w:left="1440" w:hanging="1440"/>
      <w:rPr>
        <w:sz w:val="20"/>
        <w:szCs w:val="20"/>
        <w:lang w:val="sv-SE"/>
      </w:rPr>
    </w:pPr>
    <w:r>
      <w:rPr>
        <w:sz w:val="20"/>
        <w:szCs w:val="20"/>
        <w:lang w:val="sv-SE"/>
      </w:rPr>
      <w:t>Docket D.P.U</w:t>
    </w:r>
    <w:r w:rsidRPr="00B3670D">
      <w:rPr>
        <w:sz w:val="20"/>
        <w:szCs w:val="20"/>
        <w:lang w:val="sv-SE"/>
      </w:rPr>
      <w:t xml:space="preserve">. </w:t>
    </w:r>
    <w:r w:rsidRPr="007D0FA7">
      <w:rPr>
        <w:color w:val="FF0000"/>
        <w:sz w:val="20"/>
        <w:szCs w:val="20"/>
        <w:lang w:val="sv-SE"/>
      </w:rPr>
      <w:t>10-BSF-D1</w:t>
    </w:r>
  </w:p>
  <w:p w14:paraId="6A338266" w14:textId="77777777" w:rsidR="003937D3" w:rsidRDefault="003937D3" w:rsidP="00FA765F">
    <w:pPr>
      <w:tabs>
        <w:tab w:val="left" w:pos="-1440"/>
      </w:tabs>
      <w:ind w:left="1440" w:hanging="1440"/>
    </w:pPr>
    <w:r w:rsidRPr="00C771FE">
      <w:rPr>
        <w:sz w:val="20"/>
        <w:szCs w:val="20"/>
        <w:lang w:val="sv-SE"/>
      </w:rPr>
      <w:t xml:space="preserve">Docket DE </w:t>
    </w:r>
    <w:r w:rsidRPr="007D0FA7">
      <w:rPr>
        <w:color w:val="FF0000"/>
        <w:sz w:val="20"/>
        <w:szCs w:val="20"/>
        <w:lang w:val="sv-SE"/>
      </w:rPr>
      <w:t>10-020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6pt" o:bullet="t">
        <v:imagedata r:id="rId1" o:title="BD21299_"/>
      </v:shape>
    </w:pict>
  </w:numPicBullet>
  <w:abstractNum w:abstractNumId="0" w15:restartNumberingAfterBreak="0">
    <w:nsid w:val="00212534"/>
    <w:multiLevelType w:val="multilevel"/>
    <w:tmpl w:val="6B96C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E02F1"/>
    <w:multiLevelType w:val="hybridMultilevel"/>
    <w:tmpl w:val="2A06B64E"/>
    <w:lvl w:ilvl="0" w:tplc="9E908F06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62AA1"/>
    <w:multiLevelType w:val="hybridMultilevel"/>
    <w:tmpl w:val="5C545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9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F03778"/>
    <w:multiLevelType w:val="hybridMultilevel"/>
    <w:tmpl w:val="6B96C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462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B1D28"/>
    <w:multiLevelType w:val="hybridMultilevel"/>
    <w:tmpl w:val="668456E4"/>
    <w:lvl w:ilvl="0" w:tplc="9E908F06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5C7"/>
    <w:multiLevelType w:val="hybridMultilevel"/>
    <w:tmpl w:val="EE90AF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28F2033B"/>
    <w:multiLevelType w:val="hybridMultilevel"/>
    <w:tmpl w:val="463484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2289E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3A566D"/>
    <w:multiLevelType w:val="hybridMultilevel"/>
    <w:tmpl w:val="BA6A0D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1BF6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D0536"/>
    <w:multiLevelType w:val="multilevel"/>
    <w:tmpl w:val="920A0F6C"/>
    <w:lvl w:ilvl="0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14DF7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583E79"/>
    <w:multiLevelType w:val="multilevel"/>
    <w:tmpl w:val="7B3C26B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47103"/>
    <w:multiLevelType w:val="hybridMultilevel"/>
    <w:tmpl w:val="920A0F6C"/>
    <w:lvl w:ilvl="0" w:tplc="9E908F06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F67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E9B5B5D"/>
    <w:multiLevelType w:val="hybridMultilevel"/>
    <w:tmpl w:val="A4FCC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8B560F"/>
    <w:multiLevelType w:val="hybridMultilevel"/>
    <w:tmpl w:val="846EF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A43EA"/>
    <w:multiLevelType w:val="hybridMultilevel"/>
    <w:tmpl w:val="7B3C26BC"/>
    <w:lvl w:ilvl="0" w:tplc="91C0145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749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9735CD"/>
    <w:multiLevelType w:val="hybridMultilevel"/>
    <w:tmpl w:val="6C80CB22"/>
    <w:lvl w:ilvl="0" w:tplc="9E908F06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FF3783"/>
    <w:multiLevelType w:val="hybridMultilevel"/>
    <w:tmpl w:val="91A4D3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8A3BE3"/>
    <w:multiLevelType w:val="hybridMultilevel"/>
    <w:tmpl w:val="4B521E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AE1B03"/>
    <w:multiLevelType w:val="hybridMultilevel"/>
    <w:tmpl w:val="D6B450CE"/>
    <w:lvl w:ilvl="0" w:tplc="8ACE879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29C17FD"/>
    <w:multiLevelType w:val="hybridMultilevel"/>
    <w:tmpl w:val="08F64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1574C"/>
    <w:multiLevelType w:val="hybridMultilevel"/>
    <w:tmpl w:val="A5506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B062D5"/>
    <w:multiLevelType w:val="multilevel"/>
    <w:tmpl w:val="6B96C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FC63F0"/>
    <w:multiLevelType w:val="hybridMultilevel"/>
    <w:tmpl w:val="64D0DCF2"/>
    <w:lvl w:ilvl="0" w:tplc="9E908F06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820F4"/>
    <w:multiLevelType w:val="multilevel"/>
    <w:tmpl w:val="08F64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786995">
    <w:abstractNumId w:val="22"/>
  </w:num>
  <w:num w:numId="2" w16cid:durableId="1800682922">
    <w:abstractNumId w:val="25"/>
  </w:num>
  <w:num w:numId="3" w16cid:durableId="607464771">
    <w:abstractNumId w:val="24"/>
  </w:num>
  <w:num w:numId="4" w16cid:durableId="1427652604">
    <w:abstractNumId w:val="16"/>
  </w:num>
  <w:num w:numId="5" w16cid:durableId="552422028">
    <w:abstractNumId w:val="29"/>
  </w:num>
  <w:num w:numId="6" w16cid:durableId="1051273602">
    <w:abstractNumId w:val="19"/>
  </w:num>
  <w:num w:numId="7" w16cid:durableId="1584216051">
    <w:abstractNumId w:val="14"/>
  </w:num>
  <w:num w:numId="8" w16cid:durableId="1766881906">
    <w:abstractNumId w:val="18"/>
  </w:num>
  <w:num w:numId="9" w16cid:durableId="255557115">
    <w:abstractNumId w:val="3"/>
  </w:num>
  <w:num w:numId="10" w16cid:durableId="1240947220">
    <w:abstractNumId w:val="7"/>
  </w:num>
  <w:num w:numId="11" w16cid:durableId="2093046113">
    <w:abstractNumId w:val="10"/>
  </w:num>
  <w:num w:numId="12" w16cid:durableId="1624536238">
    <w:abstractNumId w:val="6"/>
  </w:num>
  <w:num w:numId="13" w16cid:durableId="2064135790">
    <w:abstractNumId w:val="28"/>
  </w:num>
  <w:num w:numId="14" w16cid:durableId="2057120929">
    <w:abstractNumId w:val="21"/>
  </w:num>
  <w:num w:numId="15" w16cid:durableId="848065232">
    <w:abstractNumId w:val="1"/>
  </w:num>
  <w:num w:numId="16" w16cid:durableId="1681933053">
    <w:abstractNumId w:val="15"/>
  </w:num>
  <w:num w:numId="17" w16cid:durableId="2092920645">
    <w:abstractNumId w:val="12"/>
  </w:num>
  <w:num w:numId="18" w16cid:durableId="1856111970">
    <w:abstractNumId w:val="8"/>
  </w:num>
  <w:num w:numId="19" w16cid:durableId="1933665100">
    <w:abstractNumId w:val="13"/>
  </w:num>
  <w:num w:numId="20" w16cid:durableId="1756438177">
    <w:abstractNumId w:val="11"/>
  </w:num>
  <w:num w:numId="21" w16cid:durableId="637731571">
    <w:abstractNumId w:val="26"/>
  </w:num>
  <w:num w:numId="22" w16cid:durableId="769467486">
    <w:abstractNumId w:val="20"/>
  </w:num>
  <w:num w:numId="23" w16cid:durableId="509489348">
    <w:abstractNumId w:val="17"/>
  </w:num>
  <w:num w:numId="24" w16cid:durableId="1417749521">
    <w:abstractNumId w:val="9"/>
  </w:num>
  <w:num w:numId="25" w16cid:durableId="1072964275">
    <w:abstractNumId w:val="23"/>
  </w:num>
  <w:num w:numId="26" w16cid:durableId="2114281101">
    <w:abstractNumId w:val="5"/>
  </w:num>
  <w:num w:numId="27" w16cid:durableId="916325997">
    <w:abstractNumId w:val="4"/>
  </w:num>
  <w:num w:numId="28" w16cid:durableId="1814830616">
    <w:abstractNumId w:val="0"/>
  </w:num>
  <w:num w:numId="29" w16cid:durableId="564608402">
    <w:abstractNumId w:val="2"/>
  </w:num>
  <w:num w:numId="30" w16cid:durableId="1019501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00"/>
    <w:rsid w:val="00001771"/>
    <w:rsid w:val="00002761"/>
    <w:rsid w:val="00007E0E"/>
    <w:rsid w:val="00013205"/>
    <w:rsid w:val="00013586"/>
    <w:rsid w:val="00013D70"/>
    <w:rsid w:val="00013E2E"/>
    <w:rsid w:val="00014189"/>
    <w:rsid w:val="00014938"/>
    <w:rsid w:val="0001498B"/>
    <w:rsid w:val="0002023F"/>
    <w:rsid w:val="00025777"/>
    <w:rsid w:val="00027EF0"/>
    <w:rsid w:val="000361F2"/>
    <w:rsid w:val="00036D17"/>
    <w:rsid w:val="00037031"/>
    <w:rsid w:val="000376C9"/>
    <w:rsid w:val="000402C9"/>
    <w:rsid w:val="000406A1"/>
    <w:rsid w:val="00040BC8"/>
    <w:rsid w:val="00042023"/>
    <w:rsid w:val="00046556"/>
    <w:rsid w:val="0005004B"/>
    <w:rsid w:val="0005458A"/>
    <w:rsid w:val="00054BA6"/>
    <w:rsid w:val="00054F4A"/>
    <w:rsid w:val="000571D1"/>
    <w:rsid w:val="000633DD"/>
    <w:rsid w:val="00063641"/>
    <w:rsid w:val="0007290E"/>
    <w:rsid w:val="00074C4E"/>
    <w:rsid w:val="000757E3"/>
    <w:rsid w:val="0008580D"/>
    <w:rsid w:val="00086E5F"/>
    <w:rsid w:val="00091616"/>
    <w:rsid w:val="00096519"/>
    <w:rsid w:val="000A304E"/>
    <w:rsid w:val="000A366C"/>
    <w:rsid w:val="000A6171"/>
    <w:rsid w:val="000B6E6C"/>
    <w:rsid w:val="000C25C7"/>
    <w:rsid w:val="000C703D"/>
    <w:rsid w:val="000D02A1"/>
    <w:rsid w:val="000E0A47"/>
    <w:rsid w:val="000E27D5"/>
    <w:rsid w:val="00100286"/>
    <w:rsid w:val="00107034"/>
    <w:rsid w:val="001107C1"/>
    <w:rsid w:val="00114001"/>
    <w:rsid w:val="001202B4"/>
    <w:rsid w:val="00121068"/>
    <w:rsid w:val="0012278A"/>
    <w:rsid w:val="0012435A"/>
    <w:rsid w:val="00124BFC"/>
    <w:rsid w:val="0013600A"/>
    <w:rsid w:val="001361AE"/>
    <w:rsid w:val="00136288"/>
    <w:rsid w:val="00137292"/>
    <w:rsid w:val="00137DB7"/>
    <w:rsid w:val="001407CE"/>
    <w:rsid w:val="00143BB4"/>
    <w:rsid w:val="00153708"/>
    <w:rsid w:val="00155F98"/>
    <w:rsid w:val="00156227"/>
    <w:rsid w:val="00161DE8"/>
    <w:rsid w:val="00164F79"/>
    <w:rsid w:val="0016791B"/>
    <w:rsid w:val="00170CB6"/>
    <w:rsid w:val="00170ED2"/>
    <w:rsid w:val="00177CC4"/>
    <w:rsid w:val="00185B22"/>
    <w:rsid w:val="0018680C"/>
    <w:rsid w:val="00197860"/>
    <w:rsid w:val="001A03C7"/>
    <w:rsid w:val="001A0434"/>
    <w:rsid w:val="001A122D"/>
    <w:rsid w:val="001A7E4B"/>
    <w:rsid w:val="001B02D4"/>
    <w:rsid w:val="001B1C04"/>
    <w:rsid w:val="001B57A1"/>
    <w:rsid w:val="001C2D66"/>
    <w:rsid w:val="001C6169"/>
    <w:rsid w:val="001C786D"/>
    <w:rsid w:val="001C7F65"/>
    <w:rsid w:val="001D01D1"/>
    <w:rsid w:val="001D6DDA"/>
    <w:rsid w:val="001E2F4C"/>
    <w:rsid w:val="001E37B5"/>
    <w:rsid w:val="001F040A"/>
    <w:rsid w:val="001F105C"/>
    <w:rsid w:val="001F2847"/>
    <w:rsid w:val="001F6315"/>
    <w:rsid w:val="001F7A31"/>
    <w:rsid w:val="00200659"/>
    <w:rsid w:val="00202BBB"/>
    <w:rsid w:val="00207740"/>
    <w:rsid w:val="00213DAF"/>
    <w:rsid w:val="00215808"/>
    <w:rsid w:val="002211FA"/>
    <w:rsid w:val="00221EC5"/>
    <w:rsid w:val="00224D80"/>
    <w:rsid w:val="00225BAD"/>
    <w:rsid w:val="00225FD5"/>
    <w:rsid w:val="002334FE"/>
    <w:rsid w:val="002338C7"/>
    <w:rsid w:val="00241D8F"/>
    <w:rsid w:val="002445B5"/>
    <w:rsid w:val="00256A62"/>
    <w:rsid w:val="00257C27"/>
    <w:rsid w:val="0026579C"/>
    <w:rsid w:val="0027153C"/>
    <w:rsid w:val="00272C39"/>
    <w:rsid w:val="002770D3"/>
    <w:rsid w:val="002802B7"/>
    <w:rsid w:val="00281C72"/>
    <w:rsid w:val="00282672"/>
    <w:rsid w:val="002910F8"/>
    <w:rsid w:val="00294968"/>
    <w:rsid w:val="002B2B64"/>
    <w:rsid w:val="002C0692"/>
    <w:rsid w:val="002C1D7D"/>
    <w:rsid w:val="002C35E9"/>
    <w:rsid w:val="002C5774"/>
    <w:rsid w:val="002D1F72"/>
    <w:rsid w:val="002D33C5"/>
    <w:rsid w:val="002D53EE"/>
    <w:rsid w:val="002D5CA7"/>
    <w:rsid w:val="002D639F"/>
    <w:rsid w:val="002D7208"/>
    <w:rsid w:val="002D7564"/>
    <w:rsid w:val="002E1D00"/>
    <w:rsid w:val="002E57DE"/>
    <w:rsid w:val="002E6F95"/>
    <w:rsid w:val="002F3FCF"/>
    <w:rsid w:val="002F56C3"/>
    <w:rsid w:val="002F7A06"/>
    <w:rsid w:val="00300C4A"/>
    <w:rsid w:val="00301E68"/>
    <w:rsid w:val="00303598"/>
    <w:rsid w:val="00303EE3"/>
    <w:rsid w:val="00305540"/>
    <w:rsid w:val="00306792"/>
    <w:rsid w:val="0030747B"/>
    <w:rsid w:val="003077EA"/>
    <w:rsid w:val="003136E9"/>
    <w:rsid w:val="0031408D"/>
    <w:rsid w:val="003153EA"/>
    <w:rsid w:val="00315D77"/>
    <w:rsid w:val="00317AD9"/>
    <w:rsid w:val="003218E0"/>
    <w:rsid w:val="0032350A"/>
    <w:rsid w:val="00332824"/>
    <w:rsid w:val="00332997"/>
    <w:rsid w:val="003367B3"/>
    <w:rsid w:val="00340492"/>
    <w:rsid w:val="003413F4"/>
    <w:rsid w:val="003436C6"/>
    <w:rsid w:val="003439C0"/>
    <w:rsid w:val="003509D5"/>
    <w:rsid w:val="003527FB"/>
    <w:rsid w:val="00353208"/>
    <w:rsid w:val="003537E9"/>
    <w:rsid w:val="00354E18"/>
    <w:rsid w:val="003556B1"/>
    <w:rsid w:val="00361C58"/>
    <w:rsid w:val="00362A14"/>
    <w:rsid w:val="00363B04"/>
    <w:rsid w:val="00364E4F"/>
    <w:rsid w:val="00376070"/>
    <w:rsid w:val="00383745"/>
    <w:rsid w:val="00387472"/>
    <w:rsid w:val="003937D3"/>
    <w:rsid w:val="00396DCC"/>
    <w:rsid w:val="003A0E7B"/>
    <w:rsid w:val="003A198F"/>
    <w:rsid w:val="003A37A5"/>
    <w:rsid w:val="003A4897"/>
    <w:rsid w:val="003B0440"/>
    <w:rsid w:val="003B0C05"/>
    <w:rsid w:val="003B29B8"/>
    <w:rsid w:val="003B6393"/>
    <w:rsid w:val="003C53CA"/>
    <w:rsid w:val="003D02EA"/>
    <w:rsid w:val="003D3881"/>
    <w:rsid w:val="003E3097"/>
    <w:rsid w:val="003F6442"/>
    <w:rsid w:val="003F6716"/>
    <w:rsid w:val="003F6786"/>
    <w:rsid w:val="00401EC6"/>
    <w:rsid w:val="00410996"/>
    <w:rsid w:val="00411C2B"/>
    <w:rsid w:val="004135A9"/>
    <w:rsid w:val="00414402"/>
    <w:rsid w:val="00414C3D"/>
    <w:rsid w:val="00415598"/>
    <w:rsid w:val="004168E6"/>
    <w:rsid w:val="00424BDA"/>
    <w:rsid w:val="00424ECF"/>
    <w:rsid w:val="00425505"/>
    <w:rsid w:val="00426D22"/>
    <w:rsid w:val="00430184"/>
    <w:rsid w:val="004401FD"/>
    <w:rsid w:val="0046069B"/>
    <w:rsid w:val="00461029"/>
    <w:rsid w:val="004651B7"/>
    <w:rsid w:val="00465DE3"/>
    <w:rsid w:val="0046755B"/>
    <w:rsid w:val="00467810"/>
    <w:rsid w:val="00471E4F"/>
    <w:rsid w:val="00473B1E"/>
    <w:rsid w:val="00477787"/>
    <w:rsid w:val="0048053F"/>
    <w:rsid w:val="004830BF"/>
    <w:rsid w:val="004862A9"/>
    <w:rsid w:val="0049285A"/>
    <w:rsid w:val="00496A4E"/>
    <w:rsid w:val="0049782C"/>
    <w:rsid w:val="004A169E"/>
    <w:rsid w:val="004A27C1"/>
    <w:rsid w:val="004A4641"/>
    <w:rsid w:val="004B10FF"/>
    <w:rsid w:val="004B146F"/>
    <w:rsid w:val="004B2ECE"/>
    <w:rsid w:val="004B768F"/>
    <w:rsid w:val="004C014D"/>
    <w:rsid w:val="004C0EF5"/>
    <w:rsid w:val="004C1B6D"/>
    <w:rsid w:val="004C57F9"/>
    <w:rsid w:val="004C6464"/>
    <w:rsid w:val="004C7504"/>
    <w:rsid w:val="004C75A6"/>
    <w:rsid w:val="004D0ECC"/>
    <w:rsid w:val="004D15E8"/>
    <w:rsid w:val="004D4E66"/>
    <w:rsid w:val="004E39A1"/>
    <w:rsid w:val="004E49E8"/>
    <w:rsid w:val="004E4D91"/>
    <w:rsid w:val="004F07D0"/>
    <w:rsid w:val="004F2646"/>
    <w:rsid w:val="004F6798"/>
    <w:rsid w:val="00500F5F"/>
    <w:rsid w:val="00502C28"/>
    <w:rsid w:val="00504CB7"/>
    <w:rsid w:val="005062FD"/>
    <w:rsid w:val="005067FE"/>
    <w:rsid w:val="005068E2"/>
    <w:rsid w:val="00506AB7"/>
    <w:rsid w:val="005073A2"/>
    <w:rsid w:val="00512BB3"/>
    <w:rsid w:val="0051534C"/>
    <w:rsid w:val="00516606"/>
    <w:rsid w:val="00522286"/>
    <w:rsid w:val="00523B93"/>
    <w:rsid w:val="0052669E"/>
    <w:rsid w:val="0053267C"/>
    <w:rsid w:val="00535564"/>
    <w:rsid w:val="00536240"/>
    <w:rsid w:val="005371BA"/>
    <w:rsid w:val="00537F27"/>
    <w:rsid w:val="005408CA"/>
    <w:rsid w:val="00544D99"/>
    <w:rsid w:val="005450F8"/>
    <w:rsid w:val="00545E75"/>
    <w:rsid w:val="005508D0"/>
    <w:rsid w:val="00552A78"/>
    <w:rsid w:val="00556CED"/>
    <w:rsid w:val="00560B96"/>
    <w:rsid w:val="00561481"/>
    <w:rsid w:val="00566B24"/>
    <w:rsid w:val="00571147"/>
    <w:rsid w:val="005713B0"/>
    <w:rsid w:val="0057198B"/>
    <w:rsid w:val="00574728"/>
    <w:rsid w:val="00576380"/>
    <w:rsid w:val="005820D9"/>
    <w:rsid w:val="00584058"/>
    <w:rsid w:val="0059435C"/>
    <w:rsid w:val="005A1BE7"/>
    <w:rsid w:val="005A2198"/>
    <w:rsid w:val="005A3774"/>
    <w:rsid w:val="005A7E51"/>
    <w:rsid w:val="005B00AF"/>
    <w:rsid w:val="005B17A6"/>
    <w:rsid w:val="005B206D"/>
    <w:rsid w:val="005B5234"/>
    <w:rsid w:val="005B5AAD"/>
    <w:rsid w:val="005B762B"/>
    <w:rsid w:val="005C02D4"/>
    <w:rsid w:val="005C0811"/>
    <w:rsid w:val="005C0FD2"/>
    <w:rsid w:val="005C1410"/>
    <w:rsid w:val="005C2901"/>
    <w:rsid w:val="005C79BC"/>
    <w:rsid w:val="005E3756"/>
    <w:rsid w:val="005E54BD"/>
    <w:rsid w:val="005E59CD"/>
    <w:rsid w:val="005E5C9E"/>
    <w:rsid w:val="005F0390"/>
    <w:rsid w:val="005F63AA"/>
    <w:rsid w:val="005F660D"/>
    <w:rsid w:val="00605E14"/>
    <w:rsid w:val="0060716C"/>
    <w:rsid w:val="00612652"/>
    <w:rsid w:val="00614026"/>
    <w:rsid w:val="00615821"/>
    <w:rsid w:val="00616A5D"/>
    <w:rsid w:val="00620EF4"/>
    <w:rsid w:val="006251EC"/>
    <w:rsid w:val="0062560E"/>
    <w:rsid w:val="00626917"/>
    <w:rsid w:val="00631E72"/>
    <w:rsid w:val="00632767"/>
    <w:rsid w:val="00633E61"/>
    <w:rsid w:val="00634646"/>
    <w:rsid w:val="006378E0"/>
    <w:rsid w:val="00642D71"/>
    <w:rsid w:val="006446D9"/>
    <w:rsid w:val="00646438"/>
    <w:rsid w:val="00646563"/>
    <w:rsid w:val="00651225"/>
    <w:rsid w:val="00654E74"/>
    <w:rsid w:val="00655919"/>
    <w:rsid w:val="00656BC0"/>
    <w:rsid w:val="0068661C"/>
    <w:rsid w:val="00692A1F"/>
    <w:rsid w:val="00695C8D"/>
    <w:rsid w:val="006A0770"/>
    <w:rsid w:val="006A0AD8"/>
    <w:rsid w:val="006A17A8"/>
    <w:rsid w:val="006A505D"/>
    <w:rsid w:val="006A70FB"/>
    <w:rsid w:val="006B0753"/>
    <w:rsid w:val="006B6735"/>
    <w:rsid w:val="006B7A62"/>
    <w:rsid w:val="006C56BD"/>
    <w:rsid w:val="006D2775"/>
    <w:rsid w:val="006D2D1D"/>
    <w:rsid w:val="006D4DF5"/>
    <w:rsid w:val="006D5E5E"/>
    <w:rsid w:val="006D6568"/>
    <w:rsid w:val="006E095D"/>
    <w:rsid w:val="006E200E"/>
    <w:rsid w:val="006E390C"/>
    <w:rsid w:val="006F01D3"/>
    <w:rsid w:val="006F41F4"/>
    <w:rsid w:val="006F4DED"/>
    <w:rsid w:val="00702F6A"/>
    <w:rsid w:val="007077AA"/>
    <w:rsid w:val="00712121"/>
    <w:rsid w:val="0071446D"/>
    <w:rsid w:val="007165C9"/>
    <w:rsid w:val="00720065"/>
    <w:rsid w:val="00721DCC"/>
    <w:rsid w:val="007250CE"/>
    <w:rsid w:val="007266B4"/>
    <w:rsid w:val="00733698"/>
    <w:rsid w:val="007354B7"/>
    <w:rsid w:val="00735DD5"/>
    <w:rsid w:val="00740703"/>
    <w:rsid w:val="00740DCA"/>
    <w:rsid w:val="00742B0E"/>
    <w:rsid w:val="00744C11"/>
    <w:rsid w:val="00747943"/>
    <w:rsid w:val="00751D93"/>
    <w:rsid w:val="00754037"/>
    <w:rsid w:val="00765A9A"/>
    <w:rsid w:val="00765FB5"/>
    <w:rsid w:val="007673B9"/>
    <w:rsid w:val="00770D46"/>
    <w:rsid w:val="00773D3B"/>
    <w:rsid w:val="00777906"/>
    <w:rsid w:val="007833EF"/>
    <w:rsid w:val="007914E0"/>
    <w:rsid w:val="00791CAD"/>
    <w:rsid w:val="00796DE8"/>
    <w:rsid w:val="007A4696"/>
    <w:rsid w:val="007A5B50"/>
    <w:rsid w:val="007A6FEA"/>
    <w:rsid w:val="007B2098"/>
    <w:rsid w:val="007B2B78"/>
    <w:rsid w:val="007B58E3"/>
    <w:rsid w:val="007B7393"/>
    <w:rsid w:val="007C3790"/>
    <w:rsid w:val="007C5475"/>
    <w:rsid w:val="007C7D9D"/>
    <w:rsid w:val="007C7EDA"/>
    <w:rsid w:val="007D0F92"/>
    <w:rsid w:val="007D0FA7"/>
    <w:rsid w:val="007D1E33"/>
    <w:rsid w:val="007D33AA"/>
    <w:rsid w:val="007D466C"/>
    <w:rsid w:val="007E0AE2"/>
    <w:rsid w:val="007E1FD2"/>
    <w:rsid w:val="007E3899"/>
    <w:rsid w:val="007E4A33"/>
    <w:rsid w:val="007E4FBC"/>
    <w:rsid w:val="007E5702"/>
    <w:rsid w:val="007E74F6"/>
    <w:rsid w:val="007F05C0"/>
    <w:rsid w:val="007F0C13"/>
    <w:rsid w:val="007F131B"/>
    <w:rsid w:val="007F1C42"/>
    <w:rsid w:val="007F3B03"/>
    <w:rsid w:val="007F58AA"/>
    <w:rsid w:val="00806A29"/>
    <w:rsid w:val="00814CB4"/>
    <w:rsid w:val="00815632"/>
    <w:rsid w:val="00815FBF"/>
    <w:rsid w:val="0082053D"/>
    <w:rsid w:val="00823611"/>
    <w:rsid w:val="00831286"/>
    <w:rsid w:val="00833803"/>
    <w:rsid w:val="00837014"/>
    <w:rsid w:val="00841AF8"/>
    <w:rsid w:val="008433BD"/>
    <w:rsid w:val="008454FA"/>
    <w:rsid w:val="00850C70"/>
    <w:rsid w:val="008517BC"/>
    <w:rsid w:val="00852737"/>
    <w:rsid w:val="00852B91"/>
    <w:rsid w:val="0085327A"/>
    <w:rsid w:val="00855941"/>
    <w:rsid w:val="00855E45"/>
    <w:rsid w:val="00857C0C"/>
    <w:rsid w:val="00875822"/>
    <w:rsid w:val="00881761"/>
    <w:rsid w:val="00884A61"/>
    <w:rsid w:val="00886483"/>
    <w:rsid w:val="008934E9"/>
    <w:rsid w:val="008A40EA"/>
    <w:rsid w:val="008A42C1"/>
    <w:rsid w:val="008B2CBD"/>
    <w:rsid w:val="008B31B8"/>
    <w:rsid w:val="008B60F1"/>
    <w:rsid w:val="008B7E55"/>
    <w:rsid w:val="008C3591"/>
    <w:rsid w:val="008C3F0F"/>
    <w:rsid w:val="008C506E"/>
    <w:rsid w:val="008C72F1"/>
    <w:rsid w:val="008D33EB"/>
    <w:rsid w:val="008D79EE"/>
    <w:rsid w:val="008E0088"/>
    <w:rsid w:val="008E11CD"/>
    <w:rsid w:val="008E76C5"/>
    <w:rsid w:val="008F75FD"/>
    <w:rsid w:val="009020D3"/>
    <w:rsid w:val="0090589D"/>
    <w:rsid w:val="00906ADB"/>
    <w:rsid w:val="009077CD"/>
    <w:rsid w:val="00912313"/>
    <w:rsid w:val="0091430A"/>
    <w:rsid w:val="0092371C"/>
    <w:rsid w:val="00923DF2"/>
    <w:rsid w:val="009244FA"/>
    <w:rsid w:val="009252A2"/>
    <w:rsid w:val="00925B8E"/>
    <w:rsid w:val="00926CBF"/>
    <w:rsid w:val="00932697"/>
    <w:rsid w:val="0093406E"/>
    <w:rsid w:val="00936CED"/>
    <w:rsid w:val="009373E2"/>
    <w:rsid w:val="00937C2C"/>
    <w:rsid w:val="00942250"/>
    <w:rsid w:val="00951E2A"/>
    <w:rsid w:val="0095239C"/>
    <w:rsid w:val="00952B3E"/>
    <w:rsid w:val="00952E36"/>
    <w:rsid w:val="009538EA"/>
    <w:rsid w:val="00954770"/>
    <w:rsid w:val="009548FA"/>
    <w:rsid w:val="00955373"/>
    <w:rsid w:val="00960D2A"/>
    <w:rsid w:val="009610DF"/>
    <w:rsid w:val="00964645"/>
    <w:rsid w:val="00965423"/>
    <w:rsid w:val="00971A66"/>
    <w:rsid w:val="00977880"/>
    <w:rsid w:val="00980F2A"/>
    <w:rsid w:val="0098245F"/>
    <w:rsid w:val="00987CCD"/>
    <w:rsid w:val="00993906"/>
    <w:rsid w:val="009A1B4B"/>
    <w:rsid w:val="009A2F38"/>
    <w:rsid w:val="009A5541"/>
    <w:rsid w:val="009A59EC"/>
    <w:rsid w:val="009A6E1F"/>
    <w:rsid w:val="009B1441"/>
    <w:rsid w:val="009B37A4"/>
    <w:rsid w:val="009B6A3F"/>
    <w:rsid w:val="009C24A3"/>
    <w:rsid w:val="009C321B"/>
    <w:rsid w:val="009C35B8"/>
    <w:rsid w:val="009D39E4"/>
    <w:rsid w:val="009D619C"/>
    <w:rsid w:val="009D744B"/>
    <w:rsid w:val="009E1E29"/>
    <w:rsid w:val="009F652A"/>
    <w:rsid w:val="00A0275E"/>
    <w:rsid w:val="00A03BE7"/>
    <w:rsid w:val="00A06CD8"/>
    <w:rsid w:val="00A133DC"/>
    <w:rsid w:val="00A17D45"/>
    <w:rsid w:val="00A44842"/>
    <w:rsid w:val="00A463A8"/>
    <w:rsid w:val="00A467B0"/>
    <w:rsid w:val="00A52EA3"/>
    <w:rsid w:val="00A533BE"/>
    <w:rsid w:val="00A60AFD"/>
    <w:rsid w:val="00A60CBA"/>
    <w:rsid w:val="00A62BF3"/>
    <w:rsid w:val="00A6479E"/>
    <w:rsid w:val="00A64D6F"/>
    <w:rsid w:val="00A705E0"/>
    <w:rsid w:val="00A70DF2"/>
    <w:rsid w:val="00A74B36"/>
    <w:rsid w:val="00A824CA"/>
    <w:rsid w:val="00A9004F"/>
    <w:rsid w:val="00A9078F"/>
    <w:rsid w:val="00A912C9"/>
    <w:rsid w:val="00AA442B"/>
    <w:rsid w:val="00AA4580"/>
    <w:rsid w:val="00AA463A"/>
    <w:rsid w:val="00AA6486"/>
    <w:rsid w:val="00AA77B0"/>
    <w:rsid w:val="00AC070A"/>
    <w:rsid w:val="00AC37FA"/>
    <w:rsid w:val="00AC4454"/>
    <w:rsid w:val="00AD06B7"/>
    <w:rsid w:val="00AD24D7"/>
    <w:rsid w:val="00AD305C"/>
    <w:rsid w:val="00AD4B03"/>
    <w:rsid w:val="00AD527B"/>
    <w:rsid w:val="00AD666A"/>
    <w:rsid w:val="00AE042D"/>
    <w:rsid w:val="00AE363C"/>
    <w:rsid w:val="00AE36C0"/>
    <w:rsid w:val="00AF09E6"/>
    <w:rsid w:val="00AF3302"/>
    <w:rsid w:val="00B00FB7"/>
    <w:rsid w:val="00B03588"/>
    <w:rsid w:val="00B07909"/>
    <w:rsid w:val="00B11092"/>
    <w:rsid w:val="00B117D7"/>
    <w:rsid w:val="00B1427F"/>
    <w:rsid w:val="00B147EE"/>
    <w:rsid w:val="00B21006"/>
    <w:rsid w:val="00B230D0"/>
    <w:rsid w:val="00B2375E"/>
    <w:rsid w:val="00B3147B"/>
    <w:rsid w:val="00B36CEB"/>
    <w:rsid w:val="00B41B33"/>
    <w:rsid w:val="00B439F1"/>
    <w:rsid w:val="00B44CC2"/>
    <w:rsid w:val="00B5082D"/>
    <w:rsid w:val="00B613E7"/>
    <w:rsid w:val="00B64091"/>
    <w:rsid w:val="00B70D33"/>
    <w:rsid w:val="00B71244"/>
    <w:rsid w:val="00B71EA4"/>
    <w:rsid w:val="00B7355A"/>
    <w:rsid w:val="00B75D39"/>
    <w:rsid w:val="00B83D9B"/>
    <w:rsid w:val="00B9224D"/>
    <w:rsid w:val="00B94004"/>
    <w:rsid w:val="00BA007E"/>
    <w:rsid w:val="00BA5994"/>
    <w:rsid w:val="00BA6629"/>
    <w:rsid w:val="00BA7B7F"/>
    <w:rsid w:val="00BB0CDF"/>
    <w:rsid w:val="00BB218A"/>
    <w:rsid w:val="00BB5FE6"/>
    <w:rsid w:val="00BB7332"/>
    <w:rsid w:val="00BC0EE3"/>
    <w:rsid w:val="00BD3091"/>
    <w:rsid w:val="00BE70A4"/>
    <w:rsid w:val="00BF43E7"/>
    <w:rsid w:val="00C03D35"/>
    <w:rsid w:val="00C03FBD"/>
    <w:rsid w:val="00C10330"/>
    <w:rsid w:val="00C10B45"/>
    <w:rsid w:val="00C10C9D"/>
    <w:rsid w:val="00C125A1"/>
    <w:rsid w:val="00C13E09"/>
    <w:rsid w:val="00C16411"/>
    <w:rsid w:val="00C171DB"/>
    <w:rsid w:val="00C17A7C"/>
    <w:rsid w:val="00C212F9"/>
    <w:rsid w:val="00C26C4E"/>
    <w:rsid w:val="00C30C7C"/>
    <w:rsid w:val="00C31FBD"/>
    <w:rsid w:val="00C32C8E"/>
    <w:rsid w:val="00C34ECD"/>
    <w:rsid w:val="00C41C02"/>
    <w:rsid w:val="00C429EE"/>
    <w:rsid w:val="00C57386"/>
    <w:rsid w:val="00C64EB1"/>
    <w:rsid w:val="00C6737E"/>
    <w:rsid w:val="00C74835"/>
    <w:rsid w:val="00C771FE"/>
    <w:rsid w:val="00C77B25"/>
    <w:rsid w:val="00C80629"/>
    <w:rsid w:val="00C8067E"/>
    <w:rsid w:val="00C80E7C"/>
    <w:rsid w:val="00C813B1"/>
    <w:rsid w:val="00C96D72"/>
    <w:rsid w:val="00CA1B27"/>
    <w:rsid w:val="00CA2373"/>
    <w:rsid w:val="00CA33FF"/>
    <w:rsid w:val="00CA6285"/>
    <w:rsid w:val="00CB19D8"/>
    <w:rsid w:val="00CB25D5"/>
    <w:rsid w:val="00CB315D"/>
    <w:rsid w:val="00CC1040"/>
    <w:rsid w:val="00CC41DD"/>
    <w:rsid w:val="00CC6FC6"/>
    <w:rsid w:val="00CD3109"/>
    <w:rsid w:val="00CD503D"/>
    <w:rsid w:val="00CD7D6B"/>
    <w:rsid w:val="00CE51C7"/>
    <w:rsid w:val="00CF0CA1"/>
    <w:rsid w:val="00D02D74"/>
    <w:rsid w:val="00D03DEE"/>
    <w:rsid w:val="00D069A3"/>
    <w:rsid w:val="00D12DE1"/>
    <w:rsid w:val="00D13184"/>
    <w:rsid w:val="00D1481A"/>
    <w:rsid w:val="00D1778F"/>
    <w:rsid w:val="00D24407"/>
    <w:rsid w:val="00D2606D"/>
    <w:rsid w:val="00D26D38"/>
    <w:rsid w:val="00D30B5E"/>
    <w:rsid w:val="00D374EC"/>
    <w:rsid w:val="00D4051C"/>
    <w:rsid w:val="00D4486B"/>
    <w:rsid w:val="00D4656A"/>
    <w:rsid w:val="00D4701F"/>
    <w:rsid w:val="00D50D8E"/>
    <w:rsid w:val="00D5102B"/>
    <w:rsid w:val="00D57F65"/>
    <w:rsid w:val="00D63840"/>
    <w:rsid w:val="00D65459"/>
    <w:rsid w:val="00D76301"/>
    <w:rsid w:val="00D80D5B"/>
    <w:rsid w:val="00D80F0F"/>
    <w:rsid w:val="00D8118D"/>
    <w:rsid w:val="00D826B8"/>
    <w:rsid w:val="00D82ADB"/>
    <w:rsid w:val="00D84EE8"/>
    <w:rsid w:val="00D84F69"/>
    <w:rsid w:val="00D85027"/>
    <w:rsid w:val="00D94013"/>
    <w:rsid w:val="00D940BE"/>
    <w:rsid w:val="00D97B06"/>
    <w:rsid w:val="00DA0E5D"/>
    <w:rsid w:val="00DA39D4"/>
    <w:rsid w:val="00DA6A7A"/>
    <w:rsid w:val="00DB3B31"/>
    <w:rsid w:val="00DB4EE6"/>
    <w:rsid w:val="00DC3919"/>
    <w:rsid w:val="00DC44F6"/>
    <w:rsid w:val="00DD1650"/>
    <w:rsid w:val="00DD63F3"/>
    <w:rsid w:val="00DE69BD"/>
    <w:rsid w:val="00DE7568"/>
    <w:rsid w:val="00DF09AB"/>
    <w:rsid w:val="00DF1C74"/>
    <w:rsid w:val="00DF7D4B"/>
    <w:rsid w:val="00E0068E"/>
    <w:rsid w:val="00E151EA"/>
    <w:rsid w:val="00E15991"/>
    <w:rsid w:val="00E15C86"/>
    <w:rsid w:val="00E17304"/>
    <w:rsid w:val="00E22F13"/>
    <w:rsid w:val="00E32FFF"/>
    <w:rsid w:val="00E50835"/>
    <w:rsid w:val="00E51DAC"/>
    <w:rsid w:val="00E5645D"/>
    <w:rsid w:val="00E56AD2"/>
    <w:rsid w:val="00E56BA5"/>
    <w:rsid w:val="00E60448"/>
    <w:rsid w:val="00E67FFD"/>
    <w:rsid w:val="00E75531"/>
    <w:rsid w:val="00E7723E"/>
    <w:rsid w:val="00E80B84"/>
    <w:rsid w:val="00E84147"/>
    <w:rsid w:val="00E90D0F"/>
    <w:rsid w:val="00E90E0C"/>
    <w:rsid w:val="00E9144B"/>
    <w:rsid w:val="00E917F8"/>
    <w:rsid w:val="00E94B04"/>
    <w:rsid w:val="00E955C3"/>
    <w:rsid w:val="00EA37CC"/>
    <w:rsid w:val="00EA61B9"/>
    <w:rsid w:val="00EA7437"/>
    <w:rsid w:val="00EB2123"/>
    <w:rsid w:val="00EB61F8"/>
    <w:rsid w:val="00EB71AD"/>
    <w:rsid w:val="00EC0D33"/>
    <w:rsid w:val="00EC5124"/>
    <w:rsid w:val="00ED0725"/>
    <w:rsid w:val="00ED1903"/>
    <w:rsid w:val="00ED4464"/>
    <w:rsid w:val="00ED44B2"/>
    <w:rsid w:val="00ED7E87"/>
    <w:rsid w:val="00EE3908"/>
    <w:rsid w:val="00EE571F"/>
    <w:rsid w:val="00EE5A15"/>
    <w:rsid w:val="00EE5D5B"/>
    <w:rsid w:val="00F02443"/>
    <w:rsid w:val="00F02841"/>
    <w:rsid w:val="00F04A5B"/>
    <w:rsid w:val="00F07BA3"/>
    <w:rsid w:val="00F128BD"/>
    <w:rsid w:val="00F140E8"/>
    <w:rsid w:val="00F15EF2"/>
    <w:rsid w:val="00F212B3"/>
    <w:rsid w:val="00F21F71"/>
    <w:rsid w:val="00F2254F"/>
    <w:rsid w:val="00F2273B"/>
    <w:rsid w:val="00F2421E"/>
    <w:rsid w:val="00F243B1"/>
    <w:rsid w:val="00F26D8F"/>
    <w:rsid w:val="00F31724"/>
    <w:rsid w:val="00F32107"/>
    <w:rsid w:val="00F35932"/>
    <w:rsid w:val="00F4015B"/>
    <w:rsid w:val="00F43B47"/>
    <w:rsid w:val="00F4785F"/>
    <w:rsid w:val="00F523A9"/>
    <w:rsid w:val="00F5325A"/>
    <w:rsid w:val="00F53C7A"/>
    <w:rsid w:val="00F56AC8"/>
    <w:rsid w:val="00F61640"/>
    <w:rsid w:val="00F67FDC"/>
    <w:rsid w:val="00F72D72"/>
    <w:rsid w:val="00F832D1"/>
    <w:rsid w:val="00F846D4"/>
    <w:rsid w:val="00F84E34"/>
    <w:rsid w:val="00F9056C"/>
    <w:rsid w:val="00F96224"/>
    <w:rsid w:val="00F9676D"/>
    <w:rsid w:val="00FA2AD1"/>
    <w:rsid w:val="00FA2F63"/>
    <w:rsid w:val="00FA33DB"/>
    <w:rsid w:val="00FA4168"/>
    <w:rsid w:val="00FA693D"/>
    <w:rsid w:val="00FA765F"/>
    <w:rsid w:val="00FB2C2D"/>
    <w:rsid w:val="00FB36DA"/>
    <w:rsid w:val="00FB728D"/>
    <w:rsid w:val="00FB7A7A"/>
    <w:rsid w:val="00FC2537"/>
    <w:rsid w:val="00FC3035"/>
    <w:rsid w:val="00FC4C50"/>
    <w:rsid w:val="00FC537C"/>
    <w:rsid w:val="00FC737A"/>
    <w:rsid w:val="00FD21AD"/>
    <w:rsid w:val="00FD2D8B"/>
    <w:rsid w:val="00FD41D2"/>
    <w:rsid w:val="00FD44BB"/>
    <w:rsid w:val="00FD76D4"/>
    <w:rsid w:val="00FE089B"/>
    <w:rsid w:val="00FE4018"/>
    <w:rsid w:val="00FE553A"/>
    <w:rsid w:val="00FF020C"/>
    <w:rsid w:val="00FF0A84"/>
    <w:rsid w:val="00FF0C38"/>
    <w:rsid w:val="00FF0DB0"/>
    <w:rsid w:val="00FF1934"/>
    <w:rsid w:val="00FF32B4"/>
    <w:rsid w:val="00FF556C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6C69E182"/>
  <w15:docId w15:val="{DC1F5521-C874-48B8-8016-13B6D75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B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4B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BDA"/>
  </w:style>
  <w:style w:type="character" w:styleId="Hyperlink">
    <w:name w:val="Hyperlink"/>
    <w:rsid w:val="00424BDA"/>
    <w:rPr>
      <w:strike w:val="0"/>
      <w:dstrike w:val="0"/>
      <w:color w:val="0000BB"/>
      <w:u w:val="none"/>
      <w:effect w:val="none"/>
    </w:rPr>
  </w:style>
  <w:style w:type="table" w:styleId="TableGrid">
    <w:name w:val="Table Grid"/>
    <w:basedOn w:val="TableNormal"/>
    <w:rsid w:val="0042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40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50C70"/>
    <w:rPr>
      <w:sz w:val="16"/>
      <w:szCs w:val="16"/>
    </w:rPr>
  </w:style>
  <w:style w:type="paragraph" w:styleId="CommentText">
    <w:name w:val="annotation text"/>
    <w:basedOn w:val="Normal"/>
    <w:semiHidden/>
    <w:rsid w:val="00850C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0C70"/>
    <w:rPr>
      <w:b/>
      <w:bCs/>
    </w:rPr>
  </w:style>
  <w:style w:type="paragraph" w:customStyle="1" w:styleId="Quick">
    <w:name w:val="Quick ·"/>
    <w:basedOn w:val="Normal"/>
    <w:rsid w:val="00923DF2"/>
    <w:pPr>
      <w:widowControl w:val="0"/>
      <w:autoSpaceDE w:val="0"/>
      <w:autoSpaceDN w:val="0"/>
      <w:adjustRightInd w:val="0"/>
      <w:ind w:left="1620" w:hanging="180"/>
    </w:pPr>
    <w:rPr>
      <w:sz w:val="20"/>
    </w:rPr>
  </w:style>
  <w:style w:type="paragraph" w:styleId="FootnoteText">
    <w:name w:val="footnote text"/>
    <w:basedOn w:val="Normal"/>
    <w:link w:val="FootnoteTextChar"/>
    <w:rsid w:val="00F359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5932"/>
  </w:style>
  <w:style w:type="character" w:styleId="FootnoteReference">
    <w:name w:val="footnote reference"/>
    <w:basedOn w:val="DefaultParagraphFont"/>
    <w:rsid w:val="00F35932"/>
    <w:rPr>
      <w:vertAlign w:val="superscript"/>
    </w:rPr>
  </w:style>
  <w:style w:type="paragraph" w:styleId="Revision">
    <w:name w:val="Revision"/>
    <w:hidden/>
    <w:uiPriority w:val="99"/>
    <w:semiHidden/>
    <w:rsid w:val="00D82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B653-03CA-440E-A3FE-ED58899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1129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GRID</vt:lpstr>
    </vt:vector>
  </TitlesOfParts>
  <Company>nationalgrid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GRID</dc:title>
  <dc:creator>ruebenackerj</dc:creator>
  <cp:lastModifiedBy>Christopher Green</cp:lastModifiedBy>
  <cp:revision>2</cp:revision>
  <cp:lastPrinted>2023-06-22T18:50:00Z</cp:lastPrinted>
  <dcterms:created xsi:type="dcterms:W3CDTF">2025-04-11T17:39:00Z</dcterms:created>
  <dcterms:modified xsi:type="dcterms:W3CDTF">2025-04-11T17:39:00Z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aCAAFtiNfm4Jus8jI7seSeuqbw+lWVQnrx6UHLs8S2tj8ehMCsG1l5CP+rQp08LESuF+sYb9LzNrgSoW_x000d_
QUilcg/EFIk6i4xqP5dBIHcnammHhJGK0EkUM4xAEPpuutcTmrbPzXqtNXtlpD2csE31wV9XRw==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ABAAVOAfoSrQoywjdl91Jjm1HpZ3L82Yds5MMk78GtuQFz5lWXShuIjfXeFwQyDqoY+Q</vt:lpwstr>
  </property>
  <property fmtid="{D5CDD505-2E9C-101B-9397-08002B2CF9AE}" pid="5" name="_NewReviewCycle">
    <vt:lpwstr/>
  </property>
  <property fmtid="{D5CDD505-2E9C-101B-9397-08002B2CF9AE}" pid="6" name="MAIL_MSG_ID2">
    <vt:lpwstr>eh+BBFwWicM2Anv/AemoBhzizVmsF/hpx4QXeFKf7Ed+5wptAO1c2ilznNT_x000d_
YzI1dSLnKTEBGDTRpG3WoQk1J2OV1jq+/bypIA==</vt:lpwstr>
  </property>
</Properties>
</file>